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918"/>
      </w:tblGrid>
      <w:tr w:rsidR="002B5084" w:rsidRPr="00157739" w:rsidTr="00F577F3">
        <w:tc>
          <w:tcPr>
            <w:tcW w:w="2438" w:type="dxa"/>
            <w:shd w:val="clear" w:color="auto" w:fill="auto"/>
          </w:tcPr>
          <w:p w:rsidR="00F445B1" w:rsidRPr="00157739" w:rsidRDefault="00F445B1" w:rsidP="004A6D2F">
            <w:pPr>
              <w:rPr>
                <w:rStyle w:val="Firstpagetablebold"/>
                <w:rFonts w:ascii="Microsoft New Tai Lue" w:hAnsi="Microsoft New Tai Lue" w:cs="Microsoft New Tai Lue"/>
                <w:color w:val="auto"/>
              </w:rPr>
            </w:pPr>
            <w:bookmarkStart w:id="0" w:name="_GoBack"/>
            <w:bookmarkEnd w:id="0"/>
            <w:r w:rsidRPr="00157739">
              <w:rPr>
                <w:rStyle w:val="Firstpagetablebold"/>
                <w:rFonts w:ascii="Microsoft New Tai Lue" w:hAnsi="Microsoft New Tai Lue" w:cs="Microsoft New Tai Lue"/>
                <w:color w:val="auto"/>
              </w:rPr>
              <w:t>To</w:t>
            </w:r>
            <w:r w:rsidR="005C35A5" w:rsidRPr="00157739">
              <w:rPr>
                <w:rStyle w:val="Firstpagetablebold"/>
                <w:rFonts w:ascii="Microsoft New Tai Lue" w:hAnsi="Microsoft New Tai Lue" w:cs="Microsoft New Tai Lue"/>
                <w:color w:val="auto"/>
              </w:rPr>
              <w:t>:</w:t>
            </w:r>
          </w:p>
        </w:tc>
        <w:tc>
          <w:tcPr>
            <w:tcW w:w="6918" w:type="dxa"/>
            <w:shd w:val="clear" w:color="auto" w:fill="auto"/>
          </w:tcPr>
          <w:p w:rsidR="00F445B1" w:rsidRPr="00157739" w:rsidRDefault="00792A74" w:rsidP="00475860">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Director of Housing</w:t>
            </w:r>
          </w:p>
          <w:p w:rsidR="00D75777" w:rsidRDefault="00D75777" w:rsidP="00475860">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Head of Finance</w:t>
            </w:r>
          </w:p>
          <w:p w:rsidR="00D75777" w:rsidRDefault="005177DE" w:rsidP="00475860">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Head of </w:t>
            </w:r>
            <w:r w:rsidR="00D75777">
              <w:rPr>
                <w:rStyle w:val="Firstpagetablebold"/>
                <w:rFonts w:ascii="Microsoft New Tai Lue" w:hAnsi="Microsoft New Tai Lue" w:cs="Microsoft New Tai Lue"/>
                <w:color w:val="auto"/>
              </w:rPr>
              <w:t>Law &amp; Governance</w:t>
            </w:r>
          </w:p>
          <w:p w:rsidR="005177DE" w:rsidRPr="00157739" w:rsidRDefault="005177DE" w:rsidP="00475860">
            <w:pPr>
              <w:rPr>
                <w:rStyle w:val="Firstpagetablebold"/>
                <w:rFonts w:ascii="Microsoft New Tai Lue" w:hAnsi="Microsoft New Tai Lue" w:cs="Microsoft New Tai Lue"/>
                <w:color w:val="auto"/>
              </w:rPr>
            </w:pPr>
          </w:p>
        </w:tc>
      </w:tr>
      <w:tr w:rsidR="002B5084" w:rsidRPr="00157739" w:rsidTr="00F577F3">
        <w:tc>
          <w:tcPr>
            <w:tcW w:w="2438" w:type="dxa"/>
            <w:shd w:val="clear" w:color="auto" w:fill="auto"/>
          </w:tcPr>
          <w:p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Dat</w:t>
            </w:r>
            <w:r w:rsidR="005C35A5" w:rsidRPr="00157739">
              <w:rPr>
                <w:rStyle w:val="Firstpagetablebold"/>
                <w:rFonts w:ascii="Microsoft New Tai Lue" w:hAnsi="Microsoft New Tai Lue" w:cs="Microsoft New Tai Lue"/>
                <w:color w:val="auto"/>
              </w:rPr>
              <w:t>e:</w:t>
            </w:r>
          </w:p>
        </w:tc>
        <w:tc>
          <w:tcPr>
            <w:tcW w:w="6918" w:type="dxa"/>
            <w:shd w:val="clear" w:color="auto" w:fill="auto"/>
          </w:tcPr>
          <w:p w:rsidR="00F445B1" w:rsidRPr="00157739" w:rsidRDefault="00C65A83" w:rsidP="00C65A83">
            <w:pPr>
              <w:rPr>
                <w:rFonts w:ascii="Microsoft New Tai Lue" w:hAnsi="Microsoft New Tai Lue" w:cs="Microsoft New Tai Lue"/>
                <w:b/>
                <w:color w:val="auto"/>
              </w:rPr>
            </w:pPr>
            <w:r w:rsidRPr="00CF3959">
              <w:rPr>
                <w:rFonts w:ascii="Microsoft New Tai Lue" w:hAnsi="Microsoft New Tai Lue" w:cs="Microsoft New Tai Lue"/>
                <w:b/>
                <w:color w:val="FF0000"/>
              </w:rPr>
              <w:t>6 July</w:t>
            </w:r>
            <w:r w:rsidR="00381ACA" w:rsidRPr="00CF3959">
              <w:rPr>
                <w:rFonts w:ascii="Microsoft New Tai Lue" w:hAnsi="Microsoft New Tai Lue" w:cs="Microsoft New Tai Lue"/>
                <w:b/>
                <w:color w:val="FF0000"/>
              </w:rPr>
              <w:t xml:space="preserve"> 2021</w:t>
            </w:r>
          </w:p>
        </w:tc>
      </w:tr>
      <w:tr w:rsidR="002B5084" w:rsidRPr="00157739" w:rsidTr="00F577F3">
        <w:tc>
          <w:tcPr>
            <w:tcW w:w="2438" w:type="dxa"/>
            <w:shd w:val="clear" w:color="auto" w:fill="auto"/>
          </w:tcPr>
          <w:p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Report of</w:t>
            </w:r>
            <w:r w:rsidR="005C35A5" w:rsidRPr="00157739">
              <w:rPr>
                <w:rStyle w:val="Firstpagetablebold"/>
                <w:rFonts w:ascii="Microsoft New Tai Lue" w:hAnsi="Microsoft New Tai Lue" w:cs="Microsoft New Tai Lue"/>
                <w:color w:val="auto"/>
              </w:rPr>
              <w:t>:</w:t>
            </w:r>
          </w:p>
        </w:tc>
        <w:tc>
          <w:tcPr>
            <w:tcW w:w="6918" w:type="dxa"/>
            <w:shd w:val="clear" w:color="auto" w:fill="auto"/>
          </w:tcPr>
          <w:p w:rsidR="00F445B1" w:rsidRPr="00157739" w:rsidRDefault="00AD1F31" w:rsidP="004711FC">
            <w:pPr>
              <w:rPr>
                <w:rStyle w:val="Firstpagetablebold"/>
                <w:rFonts w:ascii="Microsoft New Tai Lue" w:hAnsi="Microsoft New Tai Lue" w:cs="Microsoft New Tai Lue"/>
                <w:b w:val="0"/>
                <w:color w:val="auto"/>
              </w:rPr>
            </w:pPr>
            <w:r w:rsidRPr="00157739">
              <w:rPr>
                <w:rFonts w:ascii="Microsoft New Tai Lue" w:hAnsi="Microsoft New Tai Lue" w:cs="Microsoft New Tai Lue"/>
                <w:b/>
              </w:rPr>
              <w:t>Housing Development and Enabling Manager</w:t>
            </w:r>
          </w:p>
        </w:tc>
      </w:tr>
      <w:tr w:rsidR="00CE544A" w:rsidRPr="00157739" w:rsidTr="00F577F3">
        <w:tc>
          <w:tcPr>
            <w:tcW w:w="2438" w:type="dxa"/>
            <w:shd w:val="clear" w:color="auto" w:fill="auto"/>
          </w:tcPr>
          <w:p w:rsidR="00F445B1" w:rsidRPr="00157739" w:rsidRDefault="00F445B1" w:rsidP="004A6D2F">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Title of Report: </w:t>
            </w:r>
          </w:p>
        </w:tc>
        <w:tc>
          <w:tcPr>
            <w:tcW w:w="6918" w:type="dxa"/>
            <w:shd w:val="clear" w:color="auto" w:fill="auto"/>
          </w:tcPr>
          <w:p w:rsidR="00F445B1" w:rsidRPr="00157739" w:rsidRDefault="00F43E44" w:rsidP="009229E6">
            <w:pPr>
              <w:rPr>
                <w:rStyle w:val="Firstpagetablebold"/>
                <w:rFonts w:ascii="Microsoft New Tai Lue" w:hAnsi="Microsoft New Tai Lue" w:cs="Microsoft New Tai Lue"/>
                <w:color w:val="auto"/>
              </w:rPr>
            </w:pPr>
            <w:r>
              <w:rPr>
                <w:rStyle w:val="Firstpagetablebold"/>
                <w:rFonts w:ascii="Microsoft New Tai Lue" w:hAnsi="Microsoft New Tai Lue" w:cs="Microsoft New Tai Lue"/>
                <w:color w:val="auto"/>
              </w:rPr>
              <w:t>Purchase of completed dev</w:t>
            </w:r>
            <w:r w:rsidR="009229E6">
              <w:rPr>
                <w:rStyle w:val="Firstpagetablebold"/>
                <w:rFonts w:ascii="Microsoft New Tai Lue" w:hAnsi="Microsoft New Tai Lue" w:cs="Microsoft New Tai Lue"/>
                <w:color w:val="auto"/>
              </w:rPr>
              <w:t>elopment sites at Cumberlege Close and Elsfield Hall</w:t>
            </w:r>
            <w:r>
              <w:rPr>
                <w:rStyle w:val="Firstpagetablebold"/>
                <w:rFonts w:ascii="Microsoft New Tai Lue" w:hAnsi="Microsoft New Tai Lue" w:cs="Microsoft New Tai Lue"/>
                <w:color w:val="auto"/>
              </w:rPr>
              <w:t>.</w:t>
            </w:r>
          </w:p>
        </w:tc>
      </w:tr>
    </w:tbl>
    <w:p w:rsidR="004F20EF" w:rsidRPr="00157739" w:rsidRDefault="004F20EF" w:rsidP="004A6D2F">
      <w:pPr>
        <w:rPr>
          <w:rFonts w:ascii="Microsoft New Tai Lue" w:hAnsi="Microsoft New Tai Lue" w:cs="Microsoft New Tai Lue"/>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74"/>
        <w:gridCol w:w="6770"/>
      </w:tblGrid>
      <w:tr w:rsidR="002B5084" w:rsidRPr="00157739" w:rsidTr="00CC4ED0">
        <w:tc>
          <w:tcPr>
            <w:tcW w:w="9170" w:type="dxa"/>
            <w:gridSpan w:val="3"/>
            <w:tcBorders>
              <w:bottom w:val="single" w:sz="8" w:space="0" w:color="000000"/>
            </w:tcBorders>
            <w:hideMark/>
          </w:tcPr>
          <w:p w:rsidR="00D5547E" w:rsidRPr="00157739" w:rsidRDefault="00745BF0" w:rsidP="00745BF0">
            <w:pPr>
              <w:jc w:val="cente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Summary and r</w:t>
            </w:r>
            <w:r w:rsidR="00D5547E" w:rsidRPr="00157739">
              <w:rPr>
                <w:rStyle w:val="Firstpagetablebold"/>
                <w:rFonts w:ascii="Microsoft New Tai Lue" w:hAnsi="Microsoft New Tai Lue" w:cs="Microsoft New Tai Lue"/>
                <w:color w:val="auto"/>
              </w:rPr>
              <w:t>ecommendations</w:t>
            </w:r>
          </w:p>
        </w:tc>
      </w:tr>
      <w:tr w:rsidR="002B5084" w:rsidRPr="00157739" w:rsidTr="00CC4ED0">
        <w:tc>
          <w:tcPr>
            <w:tcW w:w="2400" w:type="dxa"/>
            <w:gridSpan w:val="2"/>
            <w:tcBorders>
              <w:top w:val="single" w:sz="8" w:space="0" w:color="000000"/>
              <w:left w:val="single" w:sz="8" w:space="0" w:color="000000"/>
              <w:bottom w:val="nil"/>
              <w:right w:val="nil"/>
            </w:tcBorders>
            <w:hideMark/>
          </w:tcPr>
          <w:p w:rsidR="00D5547E" w:rsidRPr="00157739" w:rsidRDefault="00D5547E">
            <w:pPr>
              <w:rPr>
                <w:rStyle w:val="Firstpagetablebold"/>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Purpose of report:</w:t>
            </w:r>
          </w:p>
        </w:tc>
        <w:tc>
          <w:tcPr>
            <w:tcW w:w="6770" w:type="dxa"/>
            <w:tcBorders>
              <w:top w:val="single" w:sz="8" w:space="0" w:color="000000"/>
              <w:left w:val="nil"/>
              <w:bottom w:val="nil"/>
              <w:right w:val="single" w:sz="8" w:space="0" w:color="000000"/>
            </w:tcBorders>
            <w:hideMark/>
          </w:tcPr>
          <w:p w:rsidR="00D5547E" w:rsidRPr="00157739" w:rsidRDefault="00381ACA" w:rsidP="00381ACA">
            <w:pPr>
              <w:rPr>
                <w:rFonts w:ascii="Microsoft New Tai Lue" w:hAnsi="Microsoft New Tai Lue" w:cs="Microsoft New Tai Lue"/>
                <w:color w:val="FF0000"/>
              </w:rPr>
            </w:pPr>
            <w:r w:rsidRPr="00CF3959">
              <w:rPr>
                <w:rFonts w:ascii="Microsoft New Tai Lue" w:hAnsi="Microsoft New Tai Lue" w:cs="Microsoft New Tai Lue"/>
                <w:color w:val="FF0000"/>
              </w:rPr>
              <w:t xml:space="preserve">As per the decision taken </w:t>
            </w:r>
            <w:r w:rsidR="00AD1F31" w:rsidRPr="00CF3959">
              <w:rPr>
                <w:rFonts w:ascii="Microsoft New Tai Lue" w:hAnsi="Microsoft New Tai Lue" w:cs="Microsoft New Tai Lue"/>
                <w:color w:val="FF0000"/>
              </w:rPr>
              <w:t>under the Officer Executive Decision</w:t>
            </w:r>
            <w:r w:rsidR="005177DE" w:rsidRPr="00CF3959">
              <w:rPr>
                <w:rFonts w:ascii="Microsoft New Tai Lue" w:hAnsi="Microsoft New Tai Lue" w:cs="Microsoft New Tai Lue"/>
                <w:color w:val="FF0000"/>
              </w:rPr>
              <w:t xml:space="preserve"> delegations</w:t>
            </w:r>
            <w:r w:rsidR="00AD1F31" w:rsidRPr="00CF3959">
              <w:rPr>
                <w:rFonts w:ascii="Microsoft New Tai Lue" w:hAnsi="Microsoft New Tai Lue" w:cs="Microsoft New Tai Lue"/>
                <w:color w:val="FF0000"/>
              </w:rPr>
              <w:t xml:space="preserve"> </w:t>
            </w:r>
            <w:r w:rsidRPr="00CF3959">
              <w:rPr>
                <w:rFonts w:ascii="Microsoft New Tai Lue" w:hAnsi="Microsoft New Tai Lue" w:cs="Microsoft New Tai Lue"/>
                <w:color w:val="FF0000"/>
              </w:rPr>
              <w:t xml:space="preserve">dated 20 May 2021, the Director of Housing is now asked to approve and increased </w:t>
            </w:r>
            <w:r w:rsidR="00AD1F31" w:rsidRPr="00157739">
              <w:rPr>
                <w:rFonts w:ascii="Microsoft New Tai Lue" w:hAnsi="Microsoft New Tai Lue" w:cs="Microsoft New Tai Lue"/>
                <w:color w:val="auto"/>
              </w:rPr>
              <w:t xml:space="preserve">transfer </w:t>
            </w:r>
            <w:r w:rsidR="00144F4B" w:rsidRPr="00157739">
              <w:rPr>
                <w:rFonts w:ascii="Microsoft New Tai Lue" w:hAnsi="Microsoft New Tai Lue" w:cs="Microsoft New Tai Lue"/>
                <w:color w:val="auto"/>
              </w:rPr>
              <w:t xml:space="preserve">by </w:t>
            </w:r>
            <w:r w:rsidR="00F43E44">
              <w:rPr>
                <w:rFonts w:ascii="Microsoft New Tai Lue" w:hAnsi="Microsoft New Tai Lue" w:cs="Microsoft New Tai Lue"/>
                <w:color w:val="auto"/>
              </w:rPr>
              <w:t>purchase</w:t>
            </w:r>
            <w:r w:rsidR="00144F4B" w:rsidRPr="00157739">
              <w:rPr>
                <w:rFonts w:ascii="Microsoft New Tai Lue" w:hAnsi="Microsoft New Tai Lue" w:cs="Microsoft New Tai Lue"/>
                <w:color w:val="auto"/>
              </w:rPr>
              <w:t xml:space="preserve"> </w:t>
            </w:r>
            <w:r w:rsidR="00AD1F31" w:rsidRPr="00157739">
              <w:rPr>
                <w:rFonts w:ascii="Microsoft New Tai Lue" w:hAnsi="Microsoft New Tai Lue" w:cs="Microsoft New Tai Lue"/>
                <w:color w:val="auto"/>
              </w:rPr>
              <w:t xml:space="preserve">of </w:t>
            </w:r>
            <w:r w:rsidR="000A12E2" w:rsidRPr="00761325">
              <w:rPr>
                <w:rStyle w:val="Firstpagetablebold"/>
                <w:rFonts w:ascii="Microsoft New Tai Lue" w:hAnsi="Microsoft New Tai Lue" w:cs="Microsoft New Tai Lue"/>
                <w:b w:val="0"/>
                <w:color w:val="auto"/>
              </w:rPr>
              <w:t xml:space="preserve">the </w:t>
            </w:r>
            <w:r w:rsidR="00761325" w:rsidRPr="00761325">
              <w:rPr>
                <w:rFonts w:ascii="Microsoft New Tai Lue" w:hAnsi="Microsoft New Tai Lue" w:cs="Microsoft New Tai Lue"/>
                <w:color w:val="auto"/>
              </w:rPr>
              <w:t xml:space="preserve">land </w:t>
            </w:r>
            <w:r w:rsidR="00F43E44">
              <w:rPr>
                <w:rFonts w:ascii="Microsoft New Tai Lue" w:hAnsi="Microsoft New Tai Lue" w:cs="Microsoft New Tai Lue"/>
                <w:color w:val="auto"/>
              </w:rPr>
              <w:t xml:space="preserve">and housing </w:t>
            </w:r>
            <w:r w:rsidR="00846E2C">
              <w:rPr>
                <w:rFonts w:ascii="Microsoft New Tai Lue" w:hAnsi="Microsoft New Tai Lue" w:cs="Microsoft New Tai Lue"/>
                <w:color w:val="auto"/>
              </w:rPr>
              <w:t xml:space="preserve">at </w:t>
            </w:r>
            <w:r w:rsidR="009229E6" w:rsidRPr="009229E6">
              <w:rPr>
                <w:rFonts w:ascii="Microsoft New Tai Lue" w:hAnsi="Microsoft New Tai Lue" w:cs="Microsoft New Tai Lue"/>
                <w:b/>
                <w:color w:val="auto"/>
              </w:rPr>
              <w:t>Cumberlege Close</w:t>
            </w:r>
            <w:r w:rsidR="009229E6" w:rsidRPr="009229E6">
              <w:rPr>
                <w:rStyle w:val="Firstpagetablebold"/>
                <w:rFonts w:ascii="Microsoft New Tai Lue" w:hAnsi="Microsoft New Tai Lue" w:cs="Microsoft New Tai Lue"/>
                <w:b w:val="0"/>
                <w:color w:val="auto"/>
              </w:rPr>
              <w:t xml:space="preserve"> </w:t>
            </w:r>
            <w:r w:rsidR="009229E6" w:rsidRPr="009229E6">
              <w:rPr>
                <w:rFonts w:ascii="Microsoft New Tai Lue" w:hAnsi="Microsoft New Tai Lue" w:cs="Microsoft New Tai Lue"/>
                <w:b/>
                <w:color w:val="auto"/>
              </w:rPr>
              <w:t xml:space="preserve">and </w:t>
            </w:r>
            <w:r w:rsidR="00846E2C" w:rsidRPr="009229E6">
              <w:rPr>
                <w:rFonts w:ascii="Microsoft New Tai Lue" w:hAnsi="Microsoft New Tai Lue" w:cs="Microsoft New Tai Lue"/>
                <w:b/>
                <w:color w:val="auto"/>
              </w:rPr>
              <w:t>Elsfield Hall</w:t>
            </w:r>
            <w:r w:rsidR="009229E6">
              <w:rPr>
                <w:rFonts w:ascii="Microsoft New Tai Lue" w:hAnsi="Microsoft New Tai Lue" w:cs="Microsoft New Tai Lue"/>
                <w:color w:val="auto"/>
              </w:rPr>
              <w:t xml:space="preserve"> </w:t>
            </w:r>
            <w:r w:rsidR="00F43E44">
              <w:rPr>
                <w:rStyle w:val="Firstpagetablebold"/>
                <w:rFonts w:ascii="Microsoft New Tai Lue" w:hAnsi="Microsoft New Tai Lue" w:cs="Microsoft New Tai Lue"/>
                <w:b w:val="0"/>
                <w:color w:val="auto"/>
              </w:rPr>
              <w:t>from</w:t>
            </w:r>
            <w:r w:rsidR="000A12E2" w:rsidRPr="00BB63F9">
              <w:rPr>
                <w:rStyle w:val="Firstpagetablebold"/>
                <w:rFonts w:ascii="Microsoft New Tai Lue" w:hAnsi="Microsoft New Tai Lue" w:cs="Microsoft New Tai Lue"/>
                <w:b w:val="0"/>
                <w:color w:val="auto"/>
              </w:rPr>
              <w:t xml:space="preserve"> Oxford City Housing (Development) Limited</w:t>
            </w:r>
            <w:r w:rsidR="00AD1F31" w:rsidRPr="00157739">
              <w:rPr>
                <w:rFonts w:ascii="Microsoft New Tai Lue" w:hAnsi="Microsoft New Tai Lue" w:cs="Microsoft New Tai Lue"/>
                <w:color w:val="auto"/>
              </w:rPr>
              <w:t xml:space="preserve"> (OCH(</w:t>
            </w:r>
            <w:r w:rsidR="000A12E2">
              <w:rPr>
                <w:rFonts w:ascii="Microsoft New Tai Lue" w:hAnsi="Microsoft New Tai Lue" w:cs="Microsoft New Tai Lue"/>
                <w:color w:val="auto"/>
              </w:rPr>
              <w:t>D</w:t>
            </w:r>
            <w:r w:rsidR="00AD1F31" w:rsidRPr="00157739">
              <w:rPr>
                <w:rFonts w:ascii="Microsoft New Tai Lue" w:hAnsi="Microsoft New Tai Lue" w:cs="Microsoft New Tai Lue"/>
                <w:color w:val="auto"/>
              </w:rPr>
              <w:t>)L)</w:t>
            </w:r>
            <w:r w:rsidR="00846E2C">
              <w:rPr>
                <w:rFonts w:ascii="Microsoft New Tai Lue" w:hAnsi="Microsoft New Tai Lue" w:cs="Microsoft New Tai Lue"/>
                <w:color w:val="auto"/>
              </w:rPr>
              <w:t xml:space="preserve"> to</w:t>
            </w:r>
            <w:r w:rsidR="00BB63F9">
              <w:rPr>
                <w:rFonts w:ascii="Microsoft New Tai Lue" w:hAnsi="Microsoft New Tai Lue" w:cs="Microsoft New Tai Lue"/>
                <w:color w:val="auto"/>
              </w:rPr>
              <w:t xml:space="preserve"> the Council’s Housing Revenue Account</w:t>
            </w:r>
            <w:r w:rsidR="00AD1F31" w:rsidRPr="00157739">
              <w:rPr>
                <w:rFonts w:ascii="Microsoft New Tai Lue" w:hAnsi="Microsoft New Tai Lue" w:cs="Microsoft New Tai Lue"/>
                <w:color w:val="auto"/>
              </w:rPr>
              <w:t xml:space="preserve"> </w:t>
            </w:r>
          </w:p>
        </w:tc>
      </w:tr>
      <w:tr w:rsidR="002B5084" w:rsidRPr="00157739" w:rsidTr="00CC4ED0">
        <w:trPr>
          <w:trHeight w:val="413"/>
        </w:trPr>
        <w:tc>
          <w:tcPr>
            <w:tcW w:w="9170" w:type="dxa"/>
            <w:gridSpan w:val="3"/>
            <w:tcBorders>
              <w:bottom w:val="single" w:sz="8" w:space="0" w:color="000000"/>
            </w:tcBorders>
          </w:tcPr>
          <w:p w:rsidR="005F7F7E" w:rsidRPr="00157739" w:rsidRDefault="00144F4B" w:rsidP="00144F4B">
            <w:pPr>
              <w:rPr>
                <w:rFonts w:ascii="Microsoft New Tai Lue" w:hAnsi="Microsoft New Tai Lue" w:cs="Microsoft New Tai Lue"/>
                <w:color w:val="auto"/>
              </w:rPr>
            </w:pPr>
            <w:r w:rsidRPr="00157739">
              <w:rPr>
                <w:rStyle w:val="Firstpagetablebold"/>
                <w:rFonts w:ascii="Microsoft New Tai Lue" w:hAnsi="Microsoft New Tai Lue" w:cs="Microsoft New Tai Lue"/>
                <w:color w:val="auto"/>
              </w:rPr>
              <w:t xml:space="preserve">Decision required: </w:t>
            </w:r>
            <w:r w:rsidR="00C0158F" w:rsidRPr="00157739">
              <w:rPr>
                <w:rStyle w:val="Firstpagetablebold"/>
                <w:rFonts w:ascii="Microsoft New Tai Lue" w:hAnsi="Microsoft New Tai Lue" w:cs="Microsoft New Tai Lue"/>
                <w:color w:val="auto"/>
              </w:rPr>
              <w:t xml:space="preserve"> </w:t>
            </w:r>
          </w:p>
        </w:tc>
      </w:tr>
      <w:tr w:rsidR="0030208D" w:rsidRPr="00157739" w:rsidTr="00CC4ED0">
        <w:trPr>
          <w:trHeight w:val="283"/>
        </w:trPr>
        <w:tc>
          <w:tcPr>
            <w:tcW w:w="426" w:type="dxa"/>
            <w:tcBorders>
              <w:top w:val="single" w:sz="8" w:space="0" w:color="000000"/>
              <w:left w:val="single" w:sz="8" w:space="0" w:color="000000"/>
              <w:bottom w:val="single" w:sz="8" w:space="0" w:color="000000"/>
              <w:right w:val="nil"/>
            </w:tcBorders>
          </w:tcPr>
          <w:p w:rsidR="0030208D" w:rsidRPr="00157739" w:rsidRDefault="00046D2B" w:rsidP="004A6D2F">
            <w:pPr>
              <w:rPr>
                <w:rFonts w:ascii="Microsoft New Tai Lue" w:hAnsi="Microsoft New Tai Lue" w:cs="Microsoft New Tai Lue"/>
              </w:rPr>
            </w:pPr>
            <w:r w:rsidRPr="00157739">
              <w:rPr>
                <w:rFonts w:ascii="Microsoft New Tai Lue" w:hAnsi="Microsoft New Tai Lue" w:cs="Microsoft New Tai Lue"/>
              </w:rPr>
              <w:t>1.</w:t>
            </w:r>
          </w:p>
        </w:tc>
        <w:tc>
          <w:tcPr>
            <w:tcW w:w="8744" w:type="dxa"/>
            <w:gridSpan w:val="2"/>
            <w:tcBorders>
              <w:top w:val="single" w:sz="8" w:space="0" w:color="000000"/>
              <w:left w:val="nil"/>
              <w:bottom w:val="single" w:sz="8" w:space="0" w:color="000000"/>
              <w:right w:val="single" w:sz="8" w:space="0" w:color="000000"/>
            </w:tcBorders>
            <w:shd w:val="clear" w:color="auto" w:fill="auto"/>
          </w:tcPr>
          <w:p w:rsidR="00BB63F9" w:rsidRPr="00BB63F9" w:rsidRDefault="001249DF" w:rsidP="00C65A83">
            <w:pPr>
              <w:spacing w:after="0"/>
              <w:rPr>
                <w:rFonts w:ascii="Microsoft New Tai Lue" w:eastAsiaTheme="minorHAnsi" w:hAnsi="Microsoft New Tai Lue" w:cs="Microsoft New Tai Lue"/>
                <w:color w:val="auto"/>
                <w:lang w:eastAsia="en-US"/>
              </w:rPr>
            </w:pPr>
            <w:r w:rsidRPr="00157739">
              <w:rPr>
                <w:rFonts w:ascii="Microsoft New Tai Lue" w:eastAsiaTheme="minorHAnsi" w:hAnsi="Microsoft New Tai Lue" w:cs="Microsoft New Tai Lue"/>
                <w:color w:val="auto"/>
                <w:lang w:eastAsia="en-US"/>
              </w:rPr>
              <w:t>To</w:t>
            </w:r>
            <w:r w:rsidR="00144F4B" w:rsidRPr="00157739">
              <w:rPr>
                <w:rFonts w:ascii="Microsoft New Tai Lue" w:eastAsiaTheme="minorHAnsi" w:hAnsi="Microsoft New Tai Lue" w:cs="Microsoft New Tai Lue"/>
                <w:color w:val="auto"/>
                <w:lang w:eastAsia="en-US"/>
              </w:rPr>
              <w:t xml:space="preserve"> authorise the transfer by </w:t>
            </w:r>
            <w:r w:rsidR="00F43E44">
              <w:rPr>
                <w:rFonts w:ascii="Microsoft New Tai Lue" w:eastAsiaTheme="minorHAnsi" w:hAnsi="Microsoft New Tai Lue" w:cs="Microsoft New Tai Lue"/>
                <w:color w:val="auto"/>
                <w:lang w:eastAsia="en-US"/>
              </w:rPr>
              <w:t>purchase</w:t>
            </w:r>
            <w:r w:rsidR="00144F4B" w:rsidRPr="00157739">
              <w:rPr>
                <w:rFonts w:ascii="Microsoft New Tai Lue" w:eastAsiaTheme="minorHAnsi" w:hAnsi="Microsoft New Tai Lue" w:cs="Microsoft New Tai Lue"/>
                <w:color w:val="auto"/>
                <w:lang w:eastAsia="en-US"/>
              </w:rPr>
              <w:t xml:space="preserve"> of </w:t>
            </w:r>
            <w:r w:rsidR="000A12E2" w:rsidRPr="00BB63F9">
              <w:rPr>
                <w:rStyle w:val="Firstpagetablebold"/>
                <w:rFonts w:ascii="Microsoft New Tai Lue" w:hAnsi="Microsoft New Tai Lue" w:cs="Microsoft New Tai Lue"/>
                <w:b w:val="0"/>
                <w:color w:val="auto"/>
              </w:rPr>
              <w:t xml:space="preserve">the </w:t>
            </w:r>
            <w:r w:rsidR="00761325" w:rsidRPr="00761325">
              <w:rPr>
                <w:rStyle w:val="Firstpagetablebold"/>
                <w:rFonts w:ascii="Microsoft New Tai Lue" w:hAnsi="Microsoft New Tai Lue" w:cs="Microsoft New Tai Lue"/>
                <w:b w:val="0"/>
                <w:color w:val="auto"/>
              </w:rPr>
              <w:t xml:space="preserve">land </w:t>
            </w:r>
            <w:r w:rsidR="007B4583">
              <w:rPr>
                <w:rStyle w:val="Firstpagetablebold"/>
                <w:rFonts w:ascii="Microsoft New Tai Lue" w:hAnsi="Microsoft New Tai Lue" w:cs="Microsoft New Tai Lue"/>
                <w:b w:val="0"/>
                <w:color w:val="auto"/>
              </w:rPr>
              <w:t xml:space="preserve">and </w:t>
            </w:r>
            <w:r w:rsidR="00F43E44">
              <w:rPr>
                <w:rStyle w:val="Firstpagetablebold"/>
                <w:rFonts w:ascii="Microsoft New Tai Lue" w:hAnsi="Microsoft New Tai Lue" w:cs="Microsoft New Tai Lue"/>
                <w:b w:val="0"/>
                <w:color w:val="auto"/>
              </w:rPr>
              <w:t xml:space="preserve">housing </w:t>
            </w:r>
            <w:r w:rsidR="00761325" w:rsidRPr="00761325">
              <w:rPr>
                <w:rStyle w:val="Firstpagetablebold"/>
                <w:rFonts w:ascii="Microsoft New Tai Lue" w:hAnsi="Microsoft New Tai Lue" w:cs="Microsoft New Tai Lue"/>
                <w:b w:val="0"/>
                <w:color w:val="auto"/>
              </w:rPr>
              <w:t xml:space="preserve">at </w:t>
            </w:r>
            <w:r w:rsidR="009229E6" w:rsidRPr="00761325">
              <w:rPr>
                <w:rStyle w:val="Firstpagetablebold"/>
                <w:rFonts w:ascii="Microsoft New Tai Lue" w:hAnsi="Microsoft New Tai Lue" w:cs="Microsoft New Tai Lue"/>
                <w:b w:val="0"/>
                <w:color w:val="auto"/>
              </w:rPr>
              <w:t>Cumberlege Close</w:t>
            </w:r>
            <w:r w:rsidR="009229E6" w:rsidRPr="00BB63F9">
              <w:rPr>
                <w:rStyle w:val="Firstpagetablebold"/>
                <w:rFonts w:ascii="Microsoft New Tai Lue" w:hAnsi="Microsoft New Tai Lue" w:cs="Microsoft New Tai Lue"/>
                <w:b w:val="0"/>
                <w:color w:val="auto"/>
              </w:rPr>
              <w:t xml:space="preserve"> </w:t>
            </w:r>
            <w:r w:rsidR="009229E6">
              <w:rPr>
                <w:rStyle w:val="Firstpagetablebold"/>
                <w:rFonts w:ascii="Microsoft New Tai Lue" w:hAnsi="Microsoft New Tai Lue" w:cs="Microsoft New Tai Lue"/>
                <w:b w:val="0"/>
                <w:color w:val="auto"/>
              </w:rPr>
              <w:t xml:space="preserve">and </w:t>
            </w:r>
            <w:r w:rsidR="00761325" w:rsidRPr="00761325">
              <w:rPr>
                <w:rStyle w:val="Firstpagetablebold"/>
                <w:rFonts w:ascii="Microsoft New Tai Lue" w:hAnsi="Microsoft New Tai Lue" w:cs="Microsoft New Tai Lue"/>
                <w:b w:val="0"/>
                <w:color w:val="auto"/>
              </w:rPr>
              <w:t>Elsfield Hall</w:t>
            </w:r>
            <w:r w:rsidR="00CE64EC">
              <w:rPr>
                <w:rStyle w:val="Firstpagetablebold"/>
                <w:rFonts w:ascii="Microsoft New Tai Lue" w:hAnsi="Microsoft New Tai Lue" w:cs="Microsoft New Tai Lue"/>
                <w:b w:val="0"/>
                <w:color w:val="auto"/>
              </w:rPr>
              <w:t xml:space="preserve"> from</w:t>
            </w:r>
            <w:r w:rsidR="000A12E2" w:rsidRPr="00BB63F9">
              <w:rPr>
                <w:rStyle w:val="Firstpagetablebold"/>
                <w:rFonts w:ascii="Microsoft New Tai Lue" w:hAnsi="Microsoft New Tai Lue" w:cs="Microsoft New Tai Lue"/>
                <w:b w:val="0"/>
                <w:color w:val="auto"/>
              </w:rPr>
              <w:t xml:space="preserve"> Oxford City Housing (Development) Limited</w:t>
            </w:r>
            <w:r w:rsidR="00144F4B" w:rsidRPr="00157739">
              <w:rPr>
                <w:rFonts w:ascii="Microsoft New Tai Lue" w:eastAsiaTheme="minorHAnsi" w:hAnsi="Microsoft New Tai Lue" w:cs="Microsoft New Tai Lue"/>
                <w:color w:val="auto"/>
                <w:lang w:eastAsia="en-US"/>
              </w:rPr>
              <w:t xml:space="preserve"> </w:t>
            </w:r>
            <w:r w:rsidR="002014CF">
              <w:rPr>
                <w:rFonts w:ascii="Microsoft New Tai Lue" w:eastAsiaTheme="minorHAnsi" w:hAnsi="Microsoft New Tai Lue" w:cs="Microsoft New Tai Lue"/>
                <w:color w:val="auto"/>
                <w:lang w:eastAsia="en-US"/>
              </w:rPr>
              <w:t>to</w:t>
            </w:r>
            <w:r w:rsidR="00CE64EC">
              <w:rPr>
                <w:rFonts w:ascii="Microsoft New Tai Lue" w:eastAsiaTheme="minorHAnsi" w:hAnsi="Microsoft New Tai Lue" w:cs="Microsoft New Tai Lue"/>
                <w:color w:val="auto"/>
                <w:lang w:eastAsia="en-US"/>
              </w:rPr>
              <w:t xml:space="preserve"> the Council’s Housing Revenue Account </w:t>
            </w:r>
            <w:r w:rsidR="00846E2C">
              <w:rPr>
                <w:rFonts w:ascii="Microsoft New Tai Lue" w:eastAsiaTheme="minorHAnsi" w:hAnsi="Microsoft New Tai Lue" w:cs="Microsoft New Tai Lue"/>
                <w:color w:val="auto"/>
                <w:lang w:eastAsia="en-US"/>
              </w:rPr>
              <w:t>for</w:t>
            </w:r>
            <w:r w:rsidR="009229E6">
              <w:rPr>
                <w:rFonts w:ascii="Microsoft New Tai Lue" w:eastAsiaTheme="minorHAnsi" w:hAnsi="Microsoft New Tai Lue" w:cs="Microsoft New Tai Lue"/>
                <w:color w:val="auto"/>
                <w:lang w:eastAsia="en-US"/>
              </w:rPr>
              <w:t xml:space="preserve"> a</w:t>
            </w:r>
            <w:r w:rsidR="00846E2C" w:rsidRPr="00A90CE0">
              <w:rPr>
                <w:rFonts w:ascii="Microsoft New Tai Lue" w:eastAsiaTheme="minorHAnsi" w:hAnsi="Microsoft New Tai Lue" w:cs="Microsoft New Tai Lue"/>
                <w:color w:val="FF0000"/>
                <w:lang w:eastAsia="en-US"/>
              </w:rPr>
              <w:t xml:space="preserve"> </w:t>
            </w:r>
            <w:r w:rsidR="00144F4B" w:rsidRPr="00157739">
              <w:rPr>
                <w:rFonts w:ascii="Microsoft New Tai Lue" w:eastAsiaTheme="minorHAnsi" w:hAnsi="Microsoft New Tai Lue" w:cs="Microsoft New Tai Lue"/>
                <w:color w:val="auto"/>
                <w:lang w:eastAsia="en-US"/>
              </w:rPr>
              <w:t xml:space="preserve">consideration of </w:t>
            </w:r>
            <w:r w:rsidR="00381ACA" w:rsidRPr="00CF3959">
              <w:rPr>
                <w:rFonts w:ascii="Microsoft New Tai Lue" w:eastAsiaTheme="minorHAnsi" w:hAnsi="Microsoft New Tai Lue" w:cs="Microsoft New Tai Lue"/>
                <w:color w:val="FF0000"/>
                <w:lang w:eastAsia="en-US"/>
              </w:rPr>
              <w:t>£13</w:t>
            </w:r>
            <w:r w:rsidR="00DF547D" w:rsidRPr="00CF3959">
              <w:rPr>
                <w:rFonts w:ascii="Microsoft New Tai Lue" w:eastAsiaTheme="minorHAnsi" w:hAnsi="Microsoft New Tai Lue" w:cs="Microsoft New Tai Lue"/>
                <w:color w:val="FF0000"/>
                <w:lang w:eastAsia="en-US"/>
              </w:rPr>
              <w:t xml:space="preserve">,427,300 </w:t>
            </w:r>
            <w:r w:rsidR="00144F4B" w:rsidRPr="00CF3959">
              <w:rPr>
                <w:rFonts w:ascii="Microsoft New Tai Lue" w:eastAsiaTheme="minorHAnsi" w:hAnsi="Microsoft New Tai Lue" w:cs="Microsoft New Tai Lue"/>
                <w:color w:val="000000" w:themeColor="text1"/>
                <w:lang w:eastAsia="en-US"/>
              </w:rPr>
              <w:t>in total</w:t>
            </w:r>
            <w:r w:rsidR="0006184E" w:rsidRPr="00CF3959">
              <w:rPr>
                <w:rFonts w:ascii="Microsoft New Tai Lue" w:eastAsiaTheme="minorHAnsi" w:hAnsi="Microsoft New Tai Lue" w:cs="Microsoft New Tai Lue"/>
                <w:color w:val="000000" w:themeColor="text1"/>
                <w:lang w:eastAsia="en-US"/>
              </w:rPr>
              <w:t>.</w:t>
            </w:r>
          </w:p>
        </w:tc>
      </w:tr>
    </w:tbl>
    <w:p w:rsidR="00CE544A" w:rsidRPr="00157739" w:rsidRDefault="00CE544A" w:rsidP="004A6D2F">
      <w:pPr>
        <w:rPr>
          <w:rFonts w:ascii="Microsoft New Tai Lue" w:hAnsi="Microsoft New Tai Lue" w:cs="Microsoft New Tai Lu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66D42" w:rsidRPr="00157739" w:rsidTr="001500B9">
        <w:tc>
          <w:tcPr>
            <w:tcW w:w="9170" w:type="dxa"/>
            <w:tcBorders>
              <w:top w:val="single" w:sz="8" w:space="0" w:color="000000"/>
              <w:left w:val="single" w:sz="8" w:space="0" w:color="000000"/>
              <w:bottom w:val="single" w:sz="8" w:space="0" w:color="000000"/>
              <w:right w:val="single" w:sz="8" w:space="0" w:color="000000"/>
            </w:tcBorders>
            <w:shd w:val="clear" w:color="auto" w:fill="auto"/>
          </w:tcPr>
          <w:p w:rsidR="00966D42" w:rsidRPr="00157739" w:rsidRDefault="00966D42" w:rsidP="00263EA3">
            <w:pPr>
              <w:jc w:val="center"/>
              <w:rPr>
                <w:rFonts w:ascii="Microsoft New Tai Lue" w:hAnsi="Microsoft New Tai Lue" w:cs="Microsoft New Tai Lue"/>
              </w:rPr>
            </w:pPr>
            <w:r w:rsidRPr="00157739">
              <w:rPr>
                <w:rStyle w:val="Firstpagetablebold"/>
                <w:rFonts w:ascii="Microsoft New Tai Lue" w:hAnsi="Microsoft New Tai Lue" w:cs="Microsoft New Tai Lue"/>
              </w:rPr>
              <w:t>Appendices</w:t>
            </w:r>
          </w:p>
        </w:tc>
      </w:tr>
      <w:tr w:rsidR="001500B9" w:rsidRPr="00157739" w:rsidTr="007E2403">
        <w:tc>
          <w:tcPr>
            <w:tcW w:w="9170" w:type="dxa"/>
            <w:tcBorders>
              <w:top w:val="single" w:sz="8" w:space="0" w:color="000000"/>
              <w:left w:val="single" w:sz="8" w:space="0" w:color="000000"/>
              <w:bottom w:val="single" w:sz="4" w:space="0" w:color="auto"/>
              <w:right w:val="single" w:sz="8" w:space="0" w:color="000000"/>
            </w:tcBorders>
            <w:shd w:val="clear" w:color="auto" w:fill="auto"/>
          </w:tcPr>
          <w:p w:rsidR="001500B9" w:rsidRPr="001500B9" w:rsidRDefault="001500B9" w:rsidP="00FA7845">
            <w:pPr>
              <w:rPr>
                <w:rFonts w:ascii="Microsoft New Tai Lue" w:hAnsi="Microsoft New Tai Lue" w:cs="Microsoft New Tai Lue"/>
              </w:rPr>
            </w:pPr>
            <w:r w:rsidRPr="001500B9">
              <w:rPr>
                <w:rFonts w:ascii="Microsoft New Tai Lue" w:hAnsi="Microsoft New Tai Lue" w:cs="Microsoft New Tai Lue"/>
              </w:rPr>
              <w:t>1.</w:t>
            </w:r>
            <w:r>
              <w:rPr>
                <w:rFonts w:ascii="Microsoft New Tai Lue" w:hAnsi="Microsoft New Tai Lue" w:cs="Microsoft New Tai Lue"/>
              </w:rPr>
              <w:t xml:space="preserve"> Dashboard of financial performance</w:t>
            </w:r>
            <w:r w:rsidR="00902EF3">
              <w:rPr>
                <w:rFonts w:ascii="Microsoft New Tai Lue" w:hAnsi="Microsoft New Tai Lue" w:cs="Microsoft New Tai Lue"/>
              </w:rPr>
              <w:t xml:space="preserve"> – Combined </w:t>
            </w:r>
            <w:r w:rsidR="00FA7845" w:rsidRPr="00761325">
              <w:rPr>
                <w:rFonts w:ascii="Microsoft New Tai Lue" w:hAnsi="Microsoft New Tai Lue" w:cs="Microsoft New Tai Lue"/>
                <w:color w:val="auto"/>
              </w:rPr>
              <w:t>Cumberlege Close</w:t>
            </w:r>
            <w:r w:rsidR="00FA7845" w:rsidRPr="00BB63F9">
              <w:rPr>
                <w:rStyle w:val="Firstpagetablebold"/>
                <w:rFonts w:ascii="Microsoft New Tai Lue" w:hAnsi="Microsoft New Tai Lue" w:cs="Microsoft New Tai Lue"/>
                <w:b w:val="0"/>
                <w:color w:val="auto"/>
              </w:rPr>
              <w:t xml:space="preserve"> </w:t>
            </w:r>
            <w:r w:rsidR="00FA7845">
              <w:rPr>
                <w:rStyle w:val="Firstpagetablebold"/>
                <w:rFonts w:ascii="Microsoft New Tai Lue" w:hAnsi="Microsoft New Tai Lue" w:cs="Microsoft New Tai Lue"/>
                <w:b w:val="0"/>
                <w:color w:val="auto"/>
              </w:rPr>
              <w:t xml:space="preserve">and </w:t>
            </w:r>
            <w:r w:rsidR="00FA7845">
              <w:rPr>
                <w:rFonts w:ascii="Microsoft New Tai Lue" w:hAnsi="Microsoft New Tai Lue" w:cs="Microsoft New Tai Lue"/>
                <w:color w:val="auto"/>
              </w:rPr>
              <w:t>Elsfield Hall.</w:t>
            </w:r>
          </w:p>
        </w:tc>
      </w:tr>
    </w:tbl>
    <w:p w:rsidR="0040736F" w:rsidRPr="00157739" w:rsidRDefault="00A17C3E" w:rsidP="004A6D2F">
      <w:pPr>
        <w:pStyle w:val="Heading1"/>
        <w:rPr>
          <w:rFonts w:ascii="Microsoft New Tai Lue" w:hAnsi="Microsoft New Tai Lue" w:cs="Microsoft New Tai Lue"/>
        </w:rPr>
      </w:pPr>
      <w:r>
        <w:rPr>
          <w:rFonts w:ascii="Microsoft New Tai Lue" w:hAnsi="Microsoft New Tai Lue" w:cs="Microsoft New Tai Lue"/>
        </w:rPr>
        <w:t>Details</w:t>
      </w:r>
      <w:r w:rsidR="00404032" w:rsidRPr="00157739">
        <w:rPr>
          <w:rFonts w:ascii="Microsoft New Tai Lue" w:hAnsi="Microsoft New Tai Lue" w:cs="Microsoft New Tai Lue"/>
        </w:rPr>
        <w:t xml:space="preserve"> </w:t>
      </w:r>
    </w:p>
    <w:p w:rsidR="005177DE" w:rsidRPr="00846E2C" w:rsidRDefault="00AD1F31" w:rsidP="005177DE">
      <w:pPr>
        <w:pStyle w:val="ListParagraph"/>
        <w:numPr>
          <w:ilvl w:val="0"/>
          <w:numId w:val="35"/>
        </w:numPr>
        <w:rPr>
          <w:rFonts w:ascii="Microsoft New Tai Lue" w:hAnsi="Microsoft New Tai Lue" w:cs="Microsoft New Tai Lue"/>
          <w:b/>
        </w:rPr>
      </w:pPr>
      <w:r w:rsidRPr="00157739">
        <w:rPr>
          <w:rFonts w:ascii="Microsoft New Tai Lue" w:hAnsi="Microsoft New Tai Lue" w:cs="Microsoft New Tai Lue"/>
        </w:rPr>
        <w:t xml:space="preserve">As part of </w:t>
      </w:r>
      <w:r w:rsidR="001249DF" w:rsidRPr="00157739">
        <w:rPr>
          <w:rFonts w:ascii="Microsoft New Tai Lue" w:hAnsi="Microsoft New Tai Lue" w:cs="Microsoft New Tai Lue"/>
        </w:rPr>
        <w:t>Oxford City Council’s</w:t>
      </w:r>
      <w:r w:rsidR="00846E2C">
        <w:rPr>
          <w:rFonts w:ascii="Microsoft New Tai Lue" w:hAnsi="Microsoft New Tai Lue" w:cs="Microsoft New Tai Lue"/>
        </w:rPr>
        <w:t xml:space="preserve"> Cabinet</w:t>
      </w:r>
      <w:r w:rsidR="001249DF" w:rsidRPr="00157739">
        <w:rPr>
          <w:rFonts w:ascii="Microsoft New Tai Lue" w:hAnsi="Microsoft New Tai Lue" w:cs="Microsoft New Tai Lue"/>
        </w:rPr>
        <w:t xml:space="preserve"> </w:t>
      </w:r>
      <w:r w:rsidRPr="00157739">
        <w:rPr>
          <w:rFonts w:ascii="Microsoft New Tai Lue" w:hAnsi="Microsoft New Tai Lue" w:cs="Microsoft New Tai Lue"/>
        </w:rPr>
        <w:t xml:space="preserve">decision on </w:t>
      </w:r>
      <w:r w:rsidR="00146643">
        <w:rPr>
          <w:rFonts w:ascii="Microsoft New Tai Lue" w:hAnsi="Microsoft New Tai Lue" w:cs="Microsoft New Tai Lue"/>
        </w:rPr>
        <w:t>29 May 2019</w:t>
      </w:r>
      <w:r w:rsidRPr="00157739">
        <w:rPr>
          <w:rFonts w:ascii="Microsoft New Tai Lue" w:hAnsi="Microsoft New Tai Lue" w:cs="Microsoft New Tai Lue"/>
          <w:color w:val="auto"/>
        </w:rPr>
        <w:t xml:space="preserve"> </w:t>
      </w:r>
      <w:r w:rsidRPr="00157739">
        <w:rPr>
          <w:rFonts w:ascii="Microsoft New Tai Lue" w:hAnsi="Microsoft New Tai Lue" w:cs="Microsoft New Tai Lue"/>
        </w:rPr>
        <w:t xml:space="preserve">to </w:t>
      </w:r>
      <w:r w:rsidR="00146643">
        <w:rPr>
          <w:rFonts w:ascii="Microsoft New Tai Lue" w:hAnsi="Microsoft New Tai Lue" w:cs="Microsoft New Tai Lue"/>
        </w:rPr>
        <w:t>confirm the</w:t>
      </w:r>
      <w:r w:rsidR="00DA7646">
        <w:rPr>
          <w:rFonts w:ascii="Microsoft New Tai Lue" w:hAnsi="Microsoft New Tai Lue" w:cs="Microsoft New Tai Lue"/>
        </w:rPr>
        <w:t xml:space="preserve"> future strategic direction for the Council’s group of housing companies</w:t>
      </w:r>
      <w:r w:rsidRPr="00157739">
        <w:rPr>
          <w:rFonts w:ascii="Microsoft New Tai Lue" w:hAnsi="Microsoft New Tai Lue" w:cs="Microsoft New Tai Lue"/>
        </w:rPr>
        <w:t xml:space="preserve"> it was</w:t>
      </w:r>
      <w:r w:rsidR="001249DF" w:rsidRPr="00157739">
        <w:rPr>
          <w:rFonts w:ascii="Microsoft New Tai Lue" w:hAnsi="Microsoft New Tai Lue" w:cs="Microsoft New Tai Lue"/>
        </w:rPr>
        <w:t xml:space="preserve"> </w:t>
      </w:r>
      <w:r w:rsidRPr="00157739">
        <w:rPr>
          <w:rFonts w:ascii="Microsoft New Tai Lue" w:hAnsi="Microsoft New Tai Lue" w:cs="Microsoft New Tai Lue"/>
        </w:rPr>
        <w:t xml:space="preserve">agreed that </w:t>
      </w:r>
      <w:r w:rsidRPr="00157739">
        <w:rPr>
          <w:rFonts w:ascii="Microsoft New Tai Lue" w:hAnsi="Microsoft New Tai Lue" w:cs="Microsoft New Tai Lue"/>
          <w:color w:val="auto"/>
        </w:rPr>
        <w:t xml:space="preserve">the Council would </w:t>
      </w:r>
      <w:r w:rsidR="00DA7646">
        <w:rPr>
          <w:rFonts w:ascii="Microsoft New Tai Lue" w:hAnsi="Microsoft New Tai Lue" w:cs="Microsoft New Tai Lue"/>
          <w:color w:val="auto"/>
        </w:rPr>
        <w:t xml:space="preserve">purchase and manage the social rented and shared ownership units from OCH(D)L as they were developed. It was also agreed that delegated authority would be given to the Assistant Chief Executive in consultation with the Head of Finance and the Head of Law and Governance to approve and </w:t>
      </w:r>
      <w:r w:rsidR="00DA7646">
        <w:rPr>
          <w:rFonts w:ascii="Microsoft New Tai Lue" w:hAnsi="Microsoft New Tai Lue" w:cs="Microsoft New Tai Lue"/>
          <w:color w:val="auto"/>
        </w:rPr>
        <w:lastRenderedPageBreak/>
        <w:t>facilitate such purchases.</w:t>
      </w:r>
      <w:r w:rsidR="006401DA" w:rsidRPr="00157739">
        <w:rPr>
          <w:rFonts w:ascii="Microsoft New Tai Lue" w:hAnsi="Microsoft New Tai Lue" w:cs="Microsoft New Tai Lue"/>
          <w:color w:val="auto"/>
        </w:rPr>
        <w:t xml:space="preserve">  </w:t>
      </w:r>
      <w:r w:rsidR="00792A74">
        <w:rPr>
          <w:rFonts w:ascii="Microsoft New Tai Lue" w:hAnsi="Microsoft New Tai Lue" w:cs="Microsoft New Tai Lue"/>
          <w:color w:val="auto"/>
        </w:rPr>
        <w:t>The Assistant Chief Executive has further delegated this decision to the Director for Housing.</w:t>
      </w:r>
    </w:p>
    <w:p w:rsidR="00846E2C" w:rsidRPr="007C0AF1" w:rsidRDefault="00846E2C" w:rsidP="00846E2C">
      <w:pPr>
        <w:pStyle w:val="ListParagraph"/>
        <w:numPr>
          <w:ilvl w:val="1"/>
          <w:numId w:val="35"/>
        </w:numPr>
        <w:rPr>
          <w:rFonts w:ascii="Microsoft New Tai Lue" w:hAnsi="Microsoft New Tai Lue" w:cs="Microsoft New Tai Lue"/>
        </w:rPr>
      </w:pPr>
      <w:r>
        <w:rPr>
          <w:rFonts w:ascii="Microsoft New Tai Lue" w:hAnsi="Microsoft New Tai Lue" w:cs="Microsoft New Tai Lue"/>
        </w:rPr>
        <w:t>Minute 2 states that Cabinet is resolved to ‘</w:t>
      </w:r>
      <w:r w:rsidRPr="007C0AF1">
        <w:rPr>
          <w:rFonts w:ascii="Microsoft New Tai Lue" w:hAnsi="Microsoft New Tai Lue" w:cs="Microsoft New Tai Lue"/>
        </w:rPr>
        <w:t>Agree that the Council’s Housing Revenue Account from this date onwards purchases and manages the social</w:t>
      </w:r>
      <w:r>
        <w:rPr>
          <w:rFonts w:ascii="Microsoft New Tai Lue" w:hAnsi="Microsoft New Tai Lue" w:cs="Microsoft New Tai Lue"/>
        </w:rPr>
        <w:t xml:space="preserve"> </w:t>
      </w:r>
      <w:r w:rsidRPr="007C0AF1">
        <w:rPr>
          <w:rFonts w:ascii="Microsoft New Tai Lue" w:hAnsi="Microsoft New Tai Lue" w:cs="Microsoft New Tai Lue"/>
        </w:rPr>
        <w:t>rented and shared ownership units (with the exception of the Barton P</w:t>
      </w:r>
      <w:r>
        <w:rPr>
          <w:rFonts w:ascii="Microsoft New Tai Lue" w:hAnsi="Microsoft New Tai Lue" w:cs="Microsoft New Tai Lue"/>
        </w:rPr>
        <w:t>ark units).</w:t>
      </w:r>
    </w:p>
    <w:p w:rsidR="00846E2C" w:rsidRPr="00846E2C" w:rsidRDefault="00846E2C" w:rsidP="00846E2C">
      <w:pPr>
        <w:pStyle w:val="ListParagraph"/>
        <w:numPr>
          <w:ilvl w:val="1"/>
          <w:numId w:val="35"/>
        </w:numPr>
        <w:rPr>
          <w:rFonts w:ascii="Microsoft New Tai Lue" w:hAnsi="Microsoft New Tai Lue" w:cs="Microsoft New Tai Lue"/>
        </w:rPr>
      </w:pPr>
      <w:r w:rsidRPr="007C0AF1">
        <w:rPr>
          <w:rFonts w:ascii="Microsoft New Tai Lue" w:hAnsi="Microsoft New Tai Lue" w:cs="Microsoft New Tai Lue"/>
        </w:rPr>
        <w:t>Minute 6 states that Cabinet is resolved to ‘Agree that delegated authority is given to the Assistant Chief Executive in consultation with the Head of Finance and the Head of Law and Governance to approve and facilitate the agreed purchase by the HRA of all affordable housing units at the OHCL development sites’</w:t>
      </w:r>
    </w:p>
    <w:p w:rsidR="00B93664" w:rsidRPr="00DB3164" w:rsidRDefault="00B93664" w:rsidP="00D03A76">
      <w:pPr>
        <w:pStyle w:val="ListParagraph"/>
        <w:numPr>
          <w:ilvl w:val="0"/>
          <w:numId w:val="35"/>
        </w:numPr>
        <w:rPr>
          <w:rStyle w:val="Firstpagetablebold"/>
          <w:rFonts w:ascii="Microsoft New Tai Lue" w:hAnsi="Microsoft New Tai Lue" w:cs="Microsoft New Tai Lue"/>
          <w:b w:val="0"/>
          <w:color w:val="000000" w:themeColor="text1"/>
        </w:rPr>
      </w:pPr>
      <w:r w:rsidRPr="00DB3164">
        <w:rPr>
          <w:rFonts w:ascii="Microsoft New Tai Lue" w:hAnsi="Microsoft New Tai Lue" w:cs="Microsoft New Tai Lue"/>
          <w:color w:val="000000" w:themeColor="text1"/>
        </w:rPr>
        <w:t>An Officer Executive Decision dated 11 November 2019</w:t>
      </w:r>
      <w:r w:rsidRPr="00DB3164">
        <w:rPr>
          <w:rFonts w:ascii="Microsoft New Tai Lue" w:eastAsiaTheme="minorHAnsi" w:hAnsi="Microsoft New Tai Lue" w:cs="Microsoft New Tai Lue"/>
          <w:color w:val="000000" w:themeColor="text1"/>
          <w:lang w:eastAsia="en-US"/>
        </w:rPr>
        <w:t xml:space="preserve"> authorised the transfer by purchase of </w:t>
      </w:r>
      <w:r w:rsidRPr="00DB3164">
        <w:rPr>
          <w:rStyle w:val="Firstpagetablebold"/>
          <w:rFonts w:ascii="Microsoft New Tai Lue" w:hAnsi="Microsoft New Tai Lue" w:cs="Microsoft New Tai Lue"/>
          <w:b w:val="0"/>
          <w:color w:val="000000" w:themeColor="text1"/>
        </w:rPr>
        <w:t xml:space="preserve">the land and affordable housing at Elsfield Hall, Cumberlege Close and Between Towns Road from </w:t>
      </w:r>
      <w:r w:rsidRPr="00DB3164">
        <w:rPr>
          <w:rFonts w:ascii="Microsoft New Tai Lue" w:hAnsi="Microsoft New Tai Lue" w:cs="Microsoft New Tai Lue"/>
          <w:color w:val="000000" w:themeColor="text1"/>
        </w:rPr>
        <w:t xml:space="preserve">OCH(D)L </w:t>
      </w:r>
      <w:r w:rsidRPr="00DB3164">
        <w:rPr>
          <w:rFonts w:ascii="Microsoft New Tai Lue" w:eastAsiaTheme="minorHAnsi" w:hAnsi="Microsoft New Tai Lue" w:cs="Microsoft New Tai Lue"/>
          <w:color w:val="000000" w:themeColor="text1"/>
          <w:lang w:eastAsia="en-US"/>
        </w:rPr>
        <w:t>to the Council’s Housing Revenue Account for a consideration of £16,825,000 in total,</w:t>
      </w:r>
      <w:r w:rsidRPr="00DB3164">
        <w:rPr>
          <w:rFonts w:ascii="Microsoft New Tai Lue" w:hAnsi="Microsoft New Tai Lue" w:cs="Microsoft New Tai Lue"/>
          <w:color w:val="000000" w:themeColor="text1"/>
        </w:rPr>
        <w:t xml:space="preserve"> to include 56 affordable homes (33 rented and 23 shared ownership homes). </w:t>
      </w:r>
      <w:r w:rsidR="00D03A76" w:rsidRPr="00DB3164">
        <w:rPr>
          <w:rFonts w:ascii="Microsoft New Tai Lue" w:hAnsi="Microsoft New Tai Lue" w:cs="Microsoft New Tai Lue"/>
          <w:color w:val="000000" w:themeColor="text1"/>
        </w:rPr>
        <w:t>The three sites are being built under a single construction contract so were dealt with as a single entity in the report. O</w:t>
      </w:r>
      <w:r w:rsidRPr="00DB3164">
        <w:rPr>
          <w:rFonts w:ascii="Microsoft New Tai Lue" w:hAnsi="Microsoft New Tai Lue" w:cs="Microsoft New Tai Lue"/>
          <w:color w:val="000000" w:themeColor="text1"/>
        </w:rPr>
        <w:t>n 9 February 2021 OCH(D)L Board agreed to the proposed change of tenure at Elsfield Hall to become 100% affordable housing</w:t>
      </w:r>
      <w:r w:rsidR="00CD3BD2" w:rsidRPr="00DB3164">
        <w:rPr>
          <w:rFonts w:ascii="Microsoft New Tai Lue" w:hAnsi="Microsoft New Tai Lue" w:cs="Microsoft New Tai Lue"/>
          <w:color w:val="000000" w:themeColor="text1"/>
        </w:rPr>
        <w:t xml:space="preserve">, </w:t>
      </w:r>
      <w:r w:rsidR="00DB3164" w:rsidRPr="00DB3164">
        <w:rPr>
          <w:rFonts w:ascii="Microsoft New Tai Lue" w:hAnsi="Microsoft New Tai Lue" w:cs="Microsoft New Tai Lue"/>
          <w:color w:val="000000" w:themeColor="text1"/>
        </w:rPr>
        <w:t>consequently</w:t>
      </w:r>
      <w:r w:rsidR="00CD3BD2" w:rsidRPr="00DB3164">
        <w:rPr>
          <w:rFonts w:ascii="Microsoft New Tai Lue" w:hAnsi="Microsoft New Tai Lue" w:cs="Microsoft New Tai Lue"/>
          <w:color w:val="000000" w:themeColor="text1"/>
        </w:rPr>
        <w:t xml:space="preserve"> the a</w:t>
      </w:r>
      <w:r w:rsidR="007B4583">
        <w:rPr>
          <w:rFonts w:ascii="Microsoft New Tai Lue" w:hAnsi="Microsoft New Tai Lue" w:cs="Microsoft New Tai Lue"/>
          <w:color w:val="000000" w:themeColor="text1"/>
        </w:rPr>
        <w:t>pproval</w:t>
      </w:r>
      <w:r w:rsidR="00CD3BD2" w:rsidRPr="00DB3164">
        <w:rPr>
          <w:rFonts w:ascii="Microsoft New Tai Lue" w:hAnsi="Microsoft New Tai Lue" w:cs="Microsoft New Tai Lue"/>
          <w:color w:val="000000" w:themeColor="text1"/>
        </w:rPr>
        <w:t xml:space="preserve"> needs to be updated accordingly to reflect the tenure changes</w:t>
      </w:r>
      <w:r w:rsidRPr="00DB3164">
        <w:rPr>
          <w:rFonts w:ascii="Microsoft New Tai Lue" w:hAnsi="Microsoft New Tai Lue" w:cs="Microsoft New Tai Lue"/>
          <w:color w:val="000000" w:themeColor="text1"/>
        </w:rPr>
        <w:t>. This report deals with the Cumberlege Close and Elsfield Hall sites only</w:t>
      </w:r>
      <w:r w:rsidR="00D03A76" w:rsidRPr="00DB3164">
        <w:rPr>
          <w:rFonts w:ascii="Microsoft New Tai Lue" w:hAnsi="Microsoft New Tai Lue" w:cs="Microsoft New Tai Lue"/>
          <w:color w:val="000000" w:themeColor="text1"/>
        </w:rPr>
        <w:t>,</w:t>
      </w:r>
      <w:r w:rsidRPr="00DB3164">
        <w:rPr>
          <w:rFonts w:ascii="Microsoft New Tai Lue" w:hAnsi="Microsoft New Tai Lue" w:cs="Microsoft New Tai Lue"/>
          <w:color w:val="000000" w:themeColor="text1"/>
        </w:rPr>
        <w:t xml:space="preserve"> as they are joint in terms of planning and viability, and the </w:t>
      </w:r>
      <w:r w:rsidRPr="00DB3164">
        <w:rPr>
          <w:rStyle w:val="Firstpagetablebold"/>
          <w:rFonts w:ascii="Microsoft New Tai Lue" w:hAnsi="Microsoft New Tai Lue" w:cs="Microsoft New Tai Lue"/>
          <w:b w:val="0"/>
          <w:color w:val="000000" w:themeColor="text1"/>
        </w:rPr>
        <w:t>Between Towns Road site will be dealt with separately at a later date.</w:t>
      </w:r>
    </w:p>
    <w:p w:rsidR="00F12A6E" w:rsidRPr="00DC08EE" w:rsidRDefault="00D75777" w:rsidP="00F12A6E">
      <w:pPr>
        <w:pStyle w:val="ListParagraph"/>
        <w:numPr>
          <w:ilvl w:val="0"/>
          <w:numId w:val="35"/>
        </w:numPr>
        <w:rPr>
          <w:rFonts w:ascii="Microsoft New Tai Lue" w:hAnsi="Microsoft New Tai Lue" w:cs="Microsoft New Tai Lue"/>
          <w:b/>
        </w:rPr>
      </w:pPr>
      <w:r>
        <w:rPr>
          <w:rFonts w:ascii="Microsoft New Tai Lue" w:hAnsi="Microsoft New Tai Lue" w:cs="Microsoft New Tai Lue"/>
          <w:color w:val="auto"/>
        </w:rPr>
        <w:t xml:space="preserve">OCH(D)L </w:t>
      </w:r>
      <w:r w:rsidR="00B72D40">
        <w:rPr>
          <w:rFonts w:ascii="Microsoft New Tai Lue" w:hAnsi="Microsoft New Tai Lue" w:cs="Microsoft New Tai Lue"/>
          <w:color w:val="auto"/>
        </w:rPr>
        <w:t xml:space="preserve">is presently on site </w:t>
      </w:r>
      <w:r w:rsidR="00DA7646">
        <w:rPr>
          <w:rFonts w:ascii="Microsoft New Tai Lue" w:hAnsi="Microsoft New Tai Lue" w:cs="Microsoft New Tai Lue"/>
          <w:color w:val="auto"/>
        </w:rPr>
        <w:t>construct</w:t>
      </w:r>
      <w:r w:rsidR="00B72D40">
        <w:rPr>
          <w:rFonts w:ascii="Microsoft New Tai Lue" w:hAnsi="Microsoft New Tai Lue" w:cs="Microsoft New Tai Lue"/>
          <w:color w:val="auto"/>
        </w:rPr>
        <w:t>ing</w:t>
      </w:r>
      <w:r w:rsidR="00FA7845">
        <w:rPr>
          <w:rFonts w:ascii="Microsoft New Tai Lue" w:hAnsi="Microsoft New Tai Lue" w:cs="Microsoft New Tai Lue"/>
          <w:color w:val="auto"/>
        </w:rPr>
        <w:t xml:space="preserve"> 35</w:t>
      </w:r>
      <w:r w:rsidR="00DA7646">
        <w:rPr>
          <w:rFonts w:ascii="Microsoft New Tai Lue" w:hAnsi="Microsoft New Tai Lue" w:cs="Microsoft New Tai Lue"/>
          <w:color w:val="auto"/>
        </w:rPr>
        <w:t xml:space="preserve"> homes </w:t>
      </w:r>
      <w:r w:rsidR="00D03A76">
        <w:rPr>
          <w:rFonts w:ascii="Microsoft New Tai Lue" w:hAnsi="Microsoft New Tai Lue" w:cs="Microsoft New Tai Lue"/>
          <w:color w:val="auto"/>
        </w:rPr>
        <w:t>across</w:t>
      </w:r>
      <w:r w:rsidR="00DA7646">
        <w:rPr>
          <w:rFonts w:ascii="Microsoft New Tai Lue" w:hAnsi="Microsoft New Tai Lue" w:cs="Microsoft New Tai Lue"/>
          <w:color w:val="auto"/>
        </w:rPr>
        <w:t xml:space="preserve"> </w:t>
      </w:r>
      <w:r w:rsidR="00FA7845">
        <w:rPr>
          <w:rFonts w:ascii="Microsoft New Tai Lue" w:hAnsi="Microsoft New Tai Lue" w:cs="Microsoft New Tai Lue"/>
          <w:color w:val="auto"/>
        </w:rPr>
        <w:t>both</w:t>
      </w:r>
      <w:r w:rsidR="00B72D40">
        <w:rPr>
          <w:rFonts w:ascii="Microsoft New Tai Lue" w:hAnsi="Microsoft New Tai Lue" w:cs="Microsoft New Tai Lue"/>
          <w:color w:val="auto"/>
        </w:rPr>
        <w:t xml:space="preserve"> </w:t>
      </w:r>
      <w:r w:rsidR="00FA7845">
        <w:rPr>
          <w:rFonts w:ascii="Microsoft New Tai Lue" w:hAnsi="Microsoft New Tai Lue" w:cs="Microsoft New Tai Lue"/>
          <w:color w:val="auto"/>
        </w:rPr>
        <w:t xml:space="preserve">sites at </w:t>
      </w:r>
      <w:r w:rsidR="00DA7646">
        <w:rPr>
          <w:rFonts w:ascii="Microsoft New Tai Lue" w:hAnsi="Microsoft New Tai Lue" w:cs="Microsoft New Tai Lue"/>
          <w:color w:val="auto"/>
        </w:rPr>
        <w:t>Cumberlege Close and Elsfield Hall</w:t>
      </w:r>
      <w:r w:rsidR="00B72D40">
        <w:rPr>
          <w:rFonts w:ascii="Microsoft New Tai Lue" w:hAnsi="Microsoft New Tai Lue" w:cs="Microsoft New Tai Lue"/>
          <w:color w:val="auto"/>
        </w:rPr>
        <w:t xml:space="preserve">. </w:t>
      </w:r>
    </w:p>
    <w:p w:rsidR="00D77273" w:rsidRPr="00C408B2" w:rsidRDefault="00D77273" w:rsidP="00D77273">
      <w:pPr>
        <w:pStyle w:val="ListParagraph"/>
        <w:numPr>
          <w:ilvl w:val="0"/>
          <w:numId w:val="35"/>
        </w:numPr>
        <w:rPr>
          <w:rFonts w:ascii="Microsoft New Tai Lue" w:hAnsi="Microsoft New Tai Lue" w:cs="Microsoft New Tai Lue"/>
          <w:b/>
        </w:rPr>
      </w:pPr>
      <w:r>
        <w:rPr>
          <w:rFonts w:ascii="Microsoft New Tai Lue" w:hAnsi="Microsoft New Tai Lue" w:cs="Microsoft New Tai Lue"/>
          <w:color w:val="auto"/>
        </w:rPr>
        <w:t>Th</w:t>
      </w:r>
      <w:r w:rsidR="00B93664">
        <w:rPr>
          <w:rFonts w:ascii="Microsoft New Tai Lue" w:hAnsi="Microsoft New Tai Lue" w:cs="Microsoft New Tai Lue"/>
          <w:color w:val="auto"/>
        </w:rPr>
        <w:t xml:space="preserve">e schedule of accommodation </w:t>
      </w:r>
      <w:r>
        <w:rPr>
          <w:rFonts w:ascii="Microsoft New Tai Lue" w:hAnsi="Microsoft New Tai Lue" w:cs="Microsoft New Tai Lue"/>
          <w:color w:val="auto"/>
        </w:rPr>
        <w:t>is as follows.</w:t>
      </w:r>
    </w:p>
    <w:tbl>
      <w:tblPr>
        <w:tblW w:w="8083" w:type="dxa"/>
        <w:tblInd w:w="817" w:type="dxa"/>
        <w:tblLook w:val="04A0" w:firstRow="1" w:lastRow="0" w:firstColumn="1" w:lastColumn="0" w:noHBand="0" w:noVBand="1"/>
      </w:tblPr>
      <w:tblGrid>
        <w:gridCol w:w="1562"/>
        <w:gridCol w:w="990"/>
        <w:gridCol w:w="992"/>
        <w:gridCol w:w="992"/>
        <w:gridCol w:w="851"/>
        <w:gridCol w:w="992"/>
        <w:gridCol w:w="850"/>
        <w:gridCol w:w="854"/>
      </w:tblGrid>
      <w:tr w:rsidR="00B85A77" w:rsidRPr="00C408B2" w:rsidTr="004D54A7">
        <w:trPr>
          <w:trHeight w:val="290"/>
        </w:trPr>
        <w:tc>
          <w:tcPr>
            <w:tcW w:w="1562" w:type="dxa"/>
            <w:vMerge w:val="restart"/>
            <w:tcBorders>
              <w:top w:val="single" w:sz="4" w:space="0" w:color="auto"/>
              <w:left w:val="single" w:sz="4" w:space="0" w:color="auto"/>
              <w:right w:val="single" w:sz="4" w:space="0" w:color="auto"/>
            </w:tcBorders>
            <w:shd w:val="clear" w:color="auto" w:fill="auto"/>
            <w:noWrap/>
            <w:vAlign w:val="bottom"/>
          </w:tcPr>
          <w:p w:rsidR="00B85A77" w:rsidRPr="00C408B2" w:rsidRDefault="00B85A77" w:rsidP="00173982">
            <w:pPr>
              <w:spacing w:after="0"/>
              <w:rPr>
                <w:rFonts w:ascii="Calibri" w:hAnsi="Calibri" w:cs="Calibri"/>
                <w:sz w:val="22"/>
                <w:szCs w:val="22"/>
              </w:rPr>
            </w:pPr>
            <w:r w:rsidRPr="00C408B2">
              <w:rPr>
                <w:rFonts w:ascii="Calibri" w:hAnsi="Calibri" w:cs="Calibri"/>
                <w:sz w:val="22"/>
                <w:szCs w:val="22"/>
              </w:rPr>
              <w:t> </w:t>
            </w:r>
          </w:p>
        </w:tc>
        <w:tc>
          <w:tcPr>
            <w:tcW w:w="3825" w:type="dxa"/>
            <w:gridSpan w:val="4"/>
            <w:tcBorders>
              <w:top w:val="single" w:sz="4" w:space="0" w:color="auto"/>
              <w:left w:val="nil"/>
              <w:bottom w:val="single" w:sz="4" w:space="0" w:color="auto"/>
              <w:right w:val="single" w:sz="4" w:space="0" w:color="auto"/>
            </w:tcBorders>
            <w:shd w:val="clear" w:color="auto" w:fill="auto"/>
            <w:noWrap/>
            <w:vAlign w:val="bottom"/>
          </w:tcPr>
          <w:p w:rsidR="00B85A77" w:rsidRPr="00C408B2" w:rsidRDefault="00B85A77" w:rsidP="00173982">
            <w:pPr>
              <w:spacing w:after="0"/>
              <w:rPr>
                <w:rFonts w:ascii="Calibri" w:hAnsi="Calibri" w:cs="Calibri"/>
                <w:sz w:val="22"/>
                <w:szCs w:val="22"/>
              </w:rPr>
            </w:pPr>
            <w:r>
              <w:rPr>
                <w:rFonts w:ascii="Calibri" w:hAnsi="Calibri" w:cs="Calibri"/>
                <w:sz w:val="22"/>
                <w:szCs w:val="22"/>
              </w:rPr>
              <w:t>Cumberlege Close</w:t>
            </w:r>
          </w:p>
        </w:tc>
        <w:tc>
          <w:tcPr>
            <w:tcW w:w="2696" w:type="dxa"/>
            <w:gridSpan w:val="3"/>
            <w:tcBorders>
              <w:top w:val="single" w:sz="4" w:space="0" w:color="auto"/>
              <w:left w:val="nil"/>
              <w:bottom w:val="single" w:sz="4" w:space="0" w:color="auto"/>
              <w:right w:val="single" w:sz="4" w:space="0" w:color="auto"/>
            </w:tcBorders>
          </w:tcPr>
          <w:p w:rsidR="00B85A77" w:rsidRDefault="00B85A77" w:rsidP="00173982">
            <w:pPr>
              <w:spacing w:after="0"/>
              <w:rPr>
                <w:rFonts w:ascii="Calibri" w:hAnsi="Calibri" w:cs="Calibri"/>
                <w:sz w:val="22"/>
                <w:szCs w:val="22"/>
              </w:rPr>
            </w:pPr>
            <w:r>
              <w:rPr>
                <w:rFonts w:ascii="Calibri" w:hAnsi="Calibri" w:cs="Calibri"/>
                <w:sz w:val="22"/>
                <w:szCs w:val="22"/>
              </w:rPr>
              <w:t>Elsfield Hall</w:t>
            </w:r>
          </w:p>
        </w:tc>
      </w:tr>
      <w:tr w:rsidR="00B85A77" w:rsidRPr="00C408B2" w:rsidTr="004D54A7">
        <w:trPr>
          <w:trHeight w:val="290"/>
        </w:trPr>
        <w:tc>
          <w:tcPr>
            <w:tcW w:w="1562" w:type="dxa"/>
            <w:vMerge/>
            <w:tcBorders>
              <w:left w:val="single" w:sz="4" w:space="0" w:color="auto"/>
              <w:bottom w:val="single" w:sz="4" w:space="0" w:color="auto"/>
              <w:right w:val="single" w:sz="4" w:space="0" w:color="auto"/>
            </w:tcBorders>
            <w:shd w:val="clear" w:color="auto" w:fill="auto"/>
            <w:noWrap/>
            <w:vAlign w:val="bottom"/>
            <w:hideMark/>
          </w:tcPr>
          <w:p w:rsidR="00B85A77" w:rsidRPr="00C408B2" w:rsidRDefault="00B85A77" w:rsidP="00173982">
            <w:pPr>
              <w:spacing w:after="0"/>
              <w:rPr>
                <w:rFonts w:ascii="Calibri" w:hAnsi="Calibri" w:cs="Calibri"/>
                <w:sz w:val="22"/>
                <w:szCs w:val="22"/>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85A77" w:rsidRPr="00C408B2" w:rsidRDefault="00B85A77" w:rsidP="00173982">
            <w:pPr>
              <w:spacing w:after="0"/>
              <w:rPr>
                <w:rFonts w:ascii="Calibri" w:hAnsi="Calibri" w:cs="Calibri"/>
                <w:sz w:val="22"/>
                <w:szCs w:val="22"/>
              </w:rPr>
            </w:pPr>
            <w:r w:rsidRPr="00C408B2">
              <w:rPr>
                <w:rFonts w:ascii="Calibri" w:hAnsi="Calibri" w:cs="Calibri"/>
                <w:sz w:val="22"/>
                <w:szCs w:val="22"/>
              </w:rPr>
              <w:t>2B4P House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85A77" w:rsidRPr="00C408B2" w:rsidRDefault="00B85A77" w:rsidP="00173982">
            <w:pPr>
              <w:spacing w:after="0"/>
              <w:rPr>
                <w:rFonts w:ascii="Calibri" w:hAnsi="Calibri" w:cs="Calibri"/>
                <w:sz w:val="22"/>
                <w:szCs w:val="22"/>
              </w:rPr>
            </w:pPr>
            <w:r w:rsidRPr="00C408B2">
              <w:rPr>
                <w:rFonts w:ascii="Calibri" w:hAnsi="Calibri" w:cs="Calibri"/>
                <w:sz w:val="22"/>
                <w:szCs w:val="22"/>
              </w:rPr>
              <w:t>3B5P House</w:t>
            </w:r>
          </w:p>
        </w:tc>
        <w:tc>
          <w:tcPr>
            <w:tcW w:w="992" w:type="dxa"/>
            <w:tcBorders>
              <w:top w:val="single" w:sz="4" w:space="0" w:color="auto"/>
              <w:left w:val="nil"/>
              <w:bottom w:val="single" w:sz="4" w:space="0" w:color="auto"/>
              <w:right w:val="single" w:sz="4" w:space="0" w:color="auto"/>
            </w:tcBorders>
          </w:tcPr>
          <w:p w:rsidR="00B85A77" w:rsidRPr="00C408B2" w:rsidRDefault="004D54A7" w:rsidP="00173982">
            <w:pPr>
              <w:spacing w:after="0"/>
              <w:rPr>
                <w:rFonts w:ascii="Calibri" w:hAnsi="Calibri" w:cs="Calibri"/>
                <w:sz w:val="22"/>
                <w:szCs w:val="22"/>
              </w:rPr>
            </w:pPr>
            <w:r>
              <w:rPr>
                <w:rFonts w:ascii="Calibri" w:hAnsi="Calibri" w:cs="Calibri"/>
                <w:sz w:val="22"/>
                <w:szCs w:val="22"/>
              </w:rPr>
              <w:t>4B6</w:t>
            </w:r>
            <w:r w:rsidRPr="00C408B2">
              <w:rPr>
                <w:rFonts w:ascii="Calibri" w:hAnsi="Calibri" w:cs="Calibri"/>
                <w:sz w:val="22"/>
                <w:szCs w:val="22"/>
              </w:rPr>
              <w:t>P House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A77" w:rsidRPr="00C408B2" w:rsidRDefault="00B85A77" w:rsidP="00173982">
            <w:pPr>
              <w:spacing w:after="0"/>
              <w:rPr>
                <w:rFonts w:ascii="Calibri" w:hAnsi="Calibri" w:cs="Calibri"/>
                <w:sz w:val="22"/>
                <w:szCs w:val="22"/>
              </w:rPr>
            </w:pPr>
          </w:p>
        </w:tc>
        <w:tc>
          <w:tcPr>
            <w:tcW w:w="992" w:type="dxa"/>
            <w:tcBorders>
              <w:top w:val="single" w:sz="4" w:space="0" w:color="auto"/>
              <w:left w:val="nil"/>
              <w:bottom w:val="single" w:sz="4" w:space="0" w:color="auto"/>
              <w:right w:val="single" w:sz="4" w:space="0" w:color="auto"/>
            </w:tcBorders>
          </w:tcPr>
          <w:p w:rsidR="00B85A77" w:rsidRPr="00C408B2" w:rsidRDefault="00B85A77" w:rsidP="00D77273">
            <w:pPr>
              <w:spacing w:after="0"/>
              <w:rPr>
                <w:rFonts w:ascii="Calibri" w:hAnsi="Calibri" w:cs="Calibri"/>
                <w:sz w:val="22"/>
                <w:szCs w:val="22"/>
              </w:rPr>
            </w:pPr>
            <w:r>
              <w:rPr>
                <w:rFonts w:ascii="Calibri" w:hAnsi="Calibri" w:cs="Calibri"/>
                <w:sz w:val="22"/>
                <w:szCs w:val="22"/>
              </w:rPr>
              <w:t>1B2P Flat</w:t>
            </w:r>
          </w:p>
        </w:tc>
        <w:tc>
          <w:tcPr>
            <w:tcW w:w="850" w:type="dxa"/>
            <w:tcBorders>
              <w:top w:val="single" w:sz="4" w:space="0" w:color="auto"/>
              <w:left w:val="nil"/>
              <w:bottom w:val="single" w:sz="4" w:space="0" w:color="auto"/>
              <w:right w:val="single" w:sz="4" w:space="0" w:color="auto"/>
            </w:tcBorders>
          </w:tcPr>
          <w:p w:rsidR="00B85A77" w:rsidRPr="00C408B2" w:rsidRDefault="00B85A77" w:rsidP="00173982">
            <w:pPr>
              <w:spacing w:after="0"/>
              <w:rPr>
                <w:rFonts w:ascii="Calibri" w:hAnsi="Calibri" w:cs="Calibri"/>
                <w:sz w:val="22"/>
                <w:szCs w:val="22"/>
              </w:rPr>
            </w:pPr>
            <w:r>
              <w:rPr>
                <w:rFonts w:ascii="Calibri" w:hAnsi="Calibri" w:cs="Calibri"/>
                <w:sz w:val="22"/>
                <w:szCs w:val="22"/>
              </w:rPr>
              <w:t>2B3P Flat</w:t>
            </w:r>
          </w:p>
        </w:tc>
        <w:tc>
          <w:tcPr>
            <w:tcW w:w="854" w:type="dxa"/>
            <w:tcBorders>
              <w:top w:val="single" w:sz="4" w:space="0" w:color="auto"/>
              <w:left w:val="nil"/>
              <w:bottom w:val="single" w:sz="4" w:space="0" w:color="auto"/>
              <w:right w:val="single" w:sz="4" w:space="0" w:color="auto"/>
            </w:tcBorders>
          </w:tcPr>
          <w:p w:rsidR="00B85A77" w:rsidRPr="00C408B2" w:rsidRDefault="00B85A77" w:rsidP="00173982">
            <w:pPr>
              <w:spacing w:after="0"/>
              <w:rPr>
                <w:rFonts w:ascii="Calibri" w:hAnsi="Calibri" w:cs="Calibri"/>
                <w:sz w:val="22"/>
                <w:szCs w:val="22"/>
              </w:rPr>
            </w:pPr>
            <w:r>
              <w:rPr>
                <w:rFonts w:ascii="Calibri" w:hAnsi="Calibri" w:cs="Calibri"/>
                <w:sz w:val="22"/>
                <w:szCs w:val="22"/>
              </w:rPr>
              <w:t>2B4P Flat</w:t>
            </w:r>
          </w:p>
        </w:tc>
      </w:tr>
      <w:tr w:rsidR="000B3EF9" w:rsidRPr="00C408B2" w:rsidTr="004D54A7">
        <w:trPr>
          <w:trHeight w:val="290"/>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 </w:t>
            </w:r>
          </w:p>
        </w:tc>
        <w:tc>
          <w:tcPr>
            <w:tcW w:w="992" w:type="dxa"/>
            <w:tcBorders>
              <w:top w:val="single" w:sz="4" w:space="0" w:color="auto"/>
              <w:left w:val="nil"/>
              <w:bottom w:val="single" w:sz="4" w:space="0" w:color="auto"/>
              <w:right w:val="single" w:sz="4" w:space="0" w:color="auto"/>
            </w:tcBorders>
          </w:tcPr>
          <w:p w:rsidR="000B3EF9" w:rsidRPr="00C408B2" w:rsidRDefault="000B3EF9" w:rsidP="00173982">
            <w:pPr>
              <w:spacing w:after="0"/>
              <w:rPr>
                <w:rFonts w:ascii="Calibri" w:hAnsi="Calibri" w:cs="Calibri"/>
                <w:sz w:val="22"/>
                <w:szCs w:val="22"/>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 </w:t>
            </w:r>
          </w:p>
        </w:tc>
        <w:tc>
          <w:tcPr>
            <w:tcW w:w="992" w:type="dxa"/>
            <w:tcBorders>
              <w:top w:val="nil"/>
              <w:left w:val="nil"/>
              <w:bottom w:val="single" w:sz="4" w:space="0" w:color="auto"/>
              <w:right w:val="single" w:sz="4" w:space="0" w:color="auto"/>
            </w:tcBorders>
          </w:tcPr>
          <w:p w:rsidR="000B3EF9" w:rsidRPr="00C408B2" w:rsidRDefault="000B3EF9" w:rsidP="00173982">
            <w:pPr>
              <w:spacing w:after="0"/>
              <w:rPr>
                <w:rFonts w:ascii="Calibri" w:hAnsi="Calibri" w:cs="Calibri"/>
                <w:sz w:val="22"/>
                <w:szCs w:val="22"/>
              </w:rPr>
            </w:pPr>
          </w:p>
        </w:tc>
        <w:tc>
          <w:tcPr>
            <w:tcW w:w="850" w:type="dxa"/>
            <w:tcBorders>
              <w:top w:val="nil"/>
              <w:left w:val="nil"/>
              <w:bottom w:val="single" w:sz="4" w:space="0" w:color="auto"/>
              <w:right w:val="single" w:sz="4" w:space="0" w:color="auto"/>
            </w:tcBorders>
          </w:tcPr>
          <w:p w:rsidR="000B3EF9" w:rsidRPr="00C408B2" w:rsidRDefault="000B3EF9" w:rsidP="00173982">
            <w:pPr>
              <w:spacing w:after="0"/>
              <w:rPr>
                <w:rFonts w:ascii="Calibri" w:hAnsi="Calibri" w:cs="Calibri"/>
                <w:sz w:val="22"/>
                <w:szCs w:val="22"/>
              </w:rPr>
            </w:pPr>
          </w:p>
        </w:tc>
        <w:tc>
          <w:tcPr>
            <w:tcW w:w="854" w:type="dxa"/>
            <w:tcBorders>
              <w:top w:val="nil"/>
              <w:left w:val="nil"/>
              <w:bottom w:val="single" w:sz="4" w:space="0" w:color="auto"/>
              <w:right w:val="single" w:sz="4" w:space="0" w:color="auto"/>
            </w:tcBorders>
          </w:tcPr>
          <w:p w:rsidR="000B3EF9" w:rsidRPr="00C408B2" w:rsidRDefault="000B3EF9" w:rsidP="00173982">
            <w:pPr>
              <w:spacing w:after="0"/>
              <w:rPr>
                <w:rFonts w:ascii="Calibri" w:hAnsi="Calibri" w:cs="Calibri"/>
                <w:sz w:val="22"/>
                <w:szCs w:val="22"/>
              </w:rPr>
            </w:pPr>
          </w:p>
        </w:tc>
      </w:tr>
      <w:tr w:rsidR="000B3EF9" w:rsidRPr="00C408B2" w:rsidTr="004D54A7">
        <w:trPr>
          <w:trHeight w:val="290"/>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Social Rent</w:t>
            </w:r>
          </w:p>
        </w:tc>
        <w:tc>
          <w:tcPr>
            <w:tcW w:w="990"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4</w:t>
            </w:r>
          </w:p>
        </w:tc>
        <w:tc>
          <w:tcPr>
            <w:tcW w:w="992" w:type="dxa"/>
            <w:tcBorders>
              <w:top w:val="single" w:sz="4" w:space="0" w:color="auto"/>
              <w:left w:val="nil"/>
              <w:bottom w:val="single" w:sz="4" w:space="0" w:color="auto"/>
              <w:right w:val="single" w:sz="4" w:space="0" w:color="auto"/>
            </w:tcBorders>
          </w:tcPr>
          <w:p w:rsidR="000B3EF9" w:rsidRDefault="004D54A7" w:rsidP="000B3EF9">
            <w:pPr>
              <w:spacing w:after="0"/>
              <w:jc w:val="center"/>
              <w:rPr>
                <w:rFonts w:ascii="Calibri" w:hAnsi="Calibri" w:cs="Calibri"/>
                <w:sz w:val="22"/>
                <w:szCs w:val="22"/>
              </w:rPr>
            </w:pPr>
            <w:r>
              <w:rPr>
                <w:rFonts w:ascii="Calibri" w:hAnsi="Calibri" w:cs="Calibri"/>
                <w:sz w:val="22"/>
                <w:szCs w:val="22"/>
              </w:rPr>
              <w:t>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p>
        </w:tc>
        <w:tc>
          <w:tcPr>
            <w:tcW w:w="992" w:type="dxa"/>
            <w:tcBorders>
              <w:top w:val="nil"/>
              <w:left w:val="nil"/>
              <w:bottom w:val="single" w:sz="4" w:space="0" w:color="auto"/>
              <w:right w:val="single" w:sz="4" w:space="0" w:color="auto"/>
            </w:tcBorders>
          </w:tcPr>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4</w:t>
            </w:r>
          </w:p>
        </w:tc>
        <w:tc>
          <w:tcPr>
            <w:tcW w:w="850" w:type="dxa"/>
            <w:tcBorders>
              <w:top w:val="nil"/>
              <w:left w:val="nil"/>
              <w:bottom w:val="single" w:sz="4" w:space="0" w:color="auto"/>
              <w:right w:val="single" w:sz="4" w:space="0" w:color="auto"/>
            </w:tcBorders>
          </w:tcPr>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7</w:t>
            </w:r>
          </w:p>
        </w:tc>
        <w:tc>
          <w:tcPr>
            <w:tcW w:w="854" w:type="dxa"/>
            <w:tcBorders>
              <w:top w:val="nil"/>
              <w:left w:val="nil"/>
              <w:bottom w:val="single" w:sz="4" w:space="0" w:color="auto"/>
              <w:right w:val="single" w:sz="4" w:space="0" w:color="auto"/>
            </w:tcBorders>
          </w:tcPr>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0</w:t>
            </w:r>
          </w:p>
        </w:tc>
      </w:tr>
      <w:tr w:rsidR="000B3EF9" w:rsidRPr="00C408B2" w:rsidTr="004D54A7">
        <w:trPr>
          <w:trHeight w:val="290"/>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Affordable Rent</w:t>
            </w:r>
          </w:p>
        </w:tc>
        <w:tc>
          <w:tcPr>
            <w:tcW w:w="990"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0</w:t>
            </w:r>
          </w:p>
        </w:tc>
        <w:tc>
          <w:tcPr>
            <w:tcW w:w="992" w:type="dxa"/>
            <w:tcBorders>
              <w:top w:val="single" w:sz="4" w:space="0" w:color="auto"/>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Default="000B3EF9" w:rsidP="000B3EF9">
            <w:pPr>
              <w:spacing w:after="0"/>
              <w:jc w:val="center"/>
              <w:rPr>
                <w:rFonts w:ascii="Calibri" w:hAnsi="Calibri" w:cs="Calibri"/>
                <w:sz w:val="22"/>
                <w:szCs w:val="22"/>
              </w:rPr>
            </w:pPr>
            <w:r>
              <w:rPr>
                <w:rFonts w:ascii="Calibri" w:hAnsi="Calibri" w:cs="Calibri"/>
                <w:sz w:val="22"/>
                <w:szCs w:val="22"/>
              </w:rPr>
              <w:t>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0B3EF9">
            <w:pPr>
              <w:spacing w:after="0"/>
              <w:jc w:val="center"/>
              <w:rPr>
                <w:rFonts w:ascii="Calibri" w:hAnsi="Calibri" w:cs="Calibri"/>
                <w:sz w:val="22"/>
                <w:szCs w:val="22"/>
              </w:rPr>
            </w:pPr>
          </w:p>
        </w:tc>
        <w:tc>
          <w:tcPr>
            <w:tcW w:w="992" w:type="dxa"/>
            <w:tcBorders>
              <w:top w:val="nil"/>
              <w:left w:val="nil"/>
              <w:bottom w:val="single" w:sz="4" w:space="0" w:color="auto"/>
              <w:right w:val="single" w:sz="4" w:space="0" w:color="auto"/>
            </w:tcBorders>
          </w:tcPr>
          <w:p w:rsidR="0018504D" w:rsidRDefault="0018504D" w:rsidP="000B3EF9">
            <w:pPr>
              <w:spacing w:after="0"/>
              <w:jc w:val="center"/>
              <w:rPr>
                <w:rFonts w:ascii="Calibri" w:hAnsi="Calibri" w:cs="Calibri"/>
                <w:sz w:val="22"/>
                <w:szCs w:val="22"/>
              </w:rPr>
            </w:pPr>
          </w:p>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3</w:t>
            </w:r>
          </w:p>
        </w:tc>
        <w:tc>
          <w:tcPr>
            <w:tcW w:w="850" w:type="dxa"/>
            <w:tcBorders>
              <w:top w:val="nil"/>
              <w:left w:val="nil"/>
              <w:bottom w:val="single" w:sz="4" w:space="0" w:color="auto"/>
              <w:right w:val="single" w:sz="4" w:space="0" w:color="auto"/>
            </w:tcBorders>
          </w:tcPr>
          <w:p w:rsidR="0018504D" w:rsidRDefault="0018504D" w:rsidP="000B3EF9">
            <w:pPr>
              <w:spacing w:after="0"/>
              <w:jc w:val="center"/>
              <w:rPr>
                <w:rFonts w:ascii="Calibri" w:hAnsi="Calibri" w:cs="Calibri"/>
                <w:sz w:val="22"/>
                <w:szCs w:val="22"/>
              </w:rPr>
            </w:pPr>
          </w:p>
          <w:p w:rsidR="000B3EF9" w:rsidRPr="00C408B2" w:rsidRDefault="0018504D" w:rsidP="000B3EF9">
            <w:pPr>
              <w:spacing w:after="0"/>
              <w:jc w:val="center"/>
              <w:rPr>
                <w:rFonts w:ascii="Calibri" w:hAnsi="Calibri" w:cs="Calibri"/>
                <w:sz w:val="22"/>
                <w:szCs w:val="22"/>
              </w:rPr>
            </w:pPr>
            <w:r>
              <w:rPr>
                <w:rFonts w:ascii="Calibri" w:hAnsi="Calibri" w:cs="Calibri"/>
                <w:sz w:val="22"/>
                <w:szCs w:val="22"/>
              </w:rPr>
              <w:t>0</w:t>
            </w:r>
          </w:p>
        </w:tc>
        <w:tc>
          <w:tcPr>
            <w:tcW w:w="854" w:type="dxa"/>
            <w:tcBorders>
              <w:top w:val="nil"/>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0</w:t>
            </w:r>
          </w:p>
        </w:tc>
      </w:tr>
      <w:tr w:rsidR="000B3EF9" w:rsidRPr="00C408B2" w:rsidTr="004D54A7">
        <w:trPr>
          <w:trHeight w:val="290"/>
        </w:trPr>
        <w:tc>
          <w:tcPr>
            <w:tcW w:w="1562" w:type="dxa"/>
            <w:tcBorders>
              <w:top w:val="nil"/>
              <w:left w:val="single" w:sz="4" w:space="0" w:color="auto"/>
              <w:bottom w:val="single" w:sz="4" w:space="0" w:color="auto"/>
              <w:right w:val="single" w:sz="4" w:space="0" w:color="auto"/>
            </w:tcBorders>
            <w:shd w:val="clear" w:color="auto" w:fill="auto"/>
            <w:noWrap/>
            <w:vAlign w:val="bottom"/>
          </w:tcPr>
          <w:p w:rsidR="000B3EF9" w:rsidRPr="00C408B2" w:rsidRDefault="000B3EF9" w:rsidP="00173982">
            <w:pPr>
              <w:spacing w:after="0"/>
              <w:rPr>
                <w:rFonts w:ascii="Calibri" w:hAnsi="Calibri" w:cs="Calibri"/>
                <w:sz w:val="22"/>
                <w:szCs w:val="22"/>
              </w:rPr>
            </w:pPr>
            <w:r>
              <w:rPr>
                <w:rFonts w:ascii="Calibri" w:hAnsi="Calibri" w:cs="Calibri"/>
                <w:sz w:val="22"/>
                <w:szCs w:val="22"/>
              </w:rPr>
              <w:t>Shared Ownership</w:t>
            </w:r>
          </w:p>
        </w:tc>
        <w:tc>
          <w:tcPr>
            <w:tcW w:w="990" w:type="dxa"/>
            <w:tcBorders>
              <w:top w:val="nil"/>
              <w:left w:val="nil"/>
              <w:bottom w:val="single" w:sz="4" w:space="0" w:color="auto"/>
              <w:right w:val="single" w:sz="4" w:space="0" w:color="auto"/>
            </w:tcBorders>
            <w:shd w:val="clear" w:color="auto" w:fill="auto"/>
            <w:noWrap/>
            <w:vAlign w:val="bottom"/>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0B3EF9" w:rsidRPr="00C408B2" w:rsidRDefault="000B3EF9" w:rsidP="000B3EF9">
            <w:pPr>
              <w:spacing w:after="0"/>
              <w:jc w:val="center"/>
              <w:rPr>
                <w:rFonts w:ascii="Calibri" w:hAnsi="Calibri" w:cs="Calibri"/>
                <w:sz w:val="22"/>
                <w:szCs w:val="22"/>
              </w:rPr>
            </w:pPr>
            <w:r>
              <w:rPr>
                <w:rFonts w:ascii="Calibri" w:hAnsi="Calibri" w:cs="Calibri"/>
                <w:sz w:val="22"/>
                <w:szCs w:val="22"/>
              </w:rPr>
              <w:t>0</w:t>
            </w:r>
          </w:p>
        </w:tc>
        <w:tc>
          <w:tcPr>
            <w:tcW w:w="992" w:type="dxa"/>
            <w:tcBorders>
              <w:top w:val="single" w:sz="4" w:space="0" w:color="auto"/>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Pr="00C408B2" w:rsidRDefault="004D54A7" w:rsidP="000B3EF9">
            <w:pPr>
              <w:spacing w:after="0"/>
              <w:jc w:val="center"/>
              <w:rPr>
                <w:rFonts w:ascii="Calibri" w:hAnsi="Calibri" w:cs="Calibri"/>
                <w:sz w:val="22"/>
                <w:szCs w:val="22"/>
              </w:rPr>
            </w:pPr>
            <w:r>
              <w:rPr>
                <w:rFonts w:ascii="Calibri" w:hAnsi="Calibri" w:cs="Calibri"/>
                <w:sz w:val="22"/>
                <w:szCs w:val="22"/>
              </w:rPr>
              <w:t>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0B3EF9" w:rsidRPr="00C408B2" w:rsidRDefault="000B3EF9" w:rsidP="000B3EF9">
            <w:pPr>
              <w:spacing w:after="0"/>
              <w:jc w:val="center"/>
              <w:rPr>
                <w:rFonts w:ascii="Calibri" w:hAnsi="Calibri" w:cs="Calibri"/>
                <w:sz w:val="22"/>
                <w:szCs w:val="22"/>
              </w:rPr>
            </w:pPr>
          </w:p>
        </w:tc>
        <w:tc>
          <w:tcPr>
            <w:tcW w:w="992" w:type="dxa"/>
            <w:tcBorders>
              <w:top w:val="nil"/>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1</w:t>
            </w:r>
          </w:p>
        </w:tc>
        <w:tc>
          <w:tcPr>
            <w:tcW w:w="850" w:type="dxa"/>
            <w:tcBorders>
              <w:top w:val="nil"/>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3</w:t>
            </w:r>
          </w:p>
        </w:tc>
        <w:tc>
          <w:tcPr>
            <w:tcW w:w="854" w:type="dxa"/>
            <w:tcBorders>
              <w:top w:val="nil"/>
              <w:left w:val="nil"/>
              <w:bottom w:val="single" w:sz="4" w:space="0" w:color="auto"/>
              <w:right w:val="single" w:sz="4" w:space="0" w:color="auto"/>
            </w:tcBorders>
          </w:tcPr>
          <w:p w:rsidR="000B3EF9" w:rsidRDefault="000B3EF9" w:rsidP="000B3EF9">
            <w:pPr>
              <w:spacing w:after="0"/>
              <w:jc w:val="center"/>
              <w:rPr>
                <w:rFonts w:ascii="Calibri" w:hAnsi="Calibri" w:cs="Calibri"/>
                <w:sz w:val="22"/>
                <w:szCs w:val="22"/>
              </w:rPr>
            </w:pPr>
          </w:p>
          <w:p w:rsidR="000B3EF9" w:rsidRPr="00C408B2" w:rsidRDefault="00B93664" w:rsidP="000B3EF9">
            <w:pPr>
              <w:spacing w:after="0"/>
              <w:jc w:val="center"/>
              <w:rPr>
                <w:rFonts w:ascii="Calibri" w:hAnsi="Calibri" w:cs="Calibri"/>
                <w:sz w:val="22"/>
                <w:szCs w:val="22"/>
              </w:rPr>
            </w:pPr>
            <w:r>
              <w:rPr>
                <w:rFonts w:ascii="Calibri" w:hAnsi="Calibri" w:cs="Calibri"/>
                <w:sz w:val="22"/>
                <w:szCs w:val="22"/>
              </w:rPr>
              <w:t>8</w:t>
            </w:r>
          </w:p>
        </w:tc>
      </w:tr>
      <w:tr w:rsidR="000B3EF9" w:rsidRPr="00C408B2" w:rsidTr="004D54A7">
        <w:trPr>
          <w:trHeight w:val="290"/>
        </w:trPr>
        <w:tc>
          <w:tcPr>
            <w:tcW w:w="1562"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173982">
            <w:pPr>
              <w:spacing w:after="0"/>
              <w:rPr>
                <w:rFonts w:ascii="Calibri" w:hAnsi="Calibri" w:cs="Calibri"/>
                <w:sz w:val="22"/>
                <w:szCs w:val="22"/>
              </w:rPr>
            </w:pPr>
            <w:r w:rsidRPr="00C408B2">
              <w:rPr>
                <w:rFonts w:ascii="Calibri" w:hAnsi="Calibri" w:cs="Calibri"/>
                <w:sz w:val="22"/>
                <w:szCs w:val="22"/>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0B3EF9" w:rsidRPr="00C408B2" w:rsidRDefault="0018504D" w:rsidP="00A54FAA">
            <w:pPr>
              <w:spacing w:after="0"/>
              <w:jc w:val="center"/>
              <w:rPr>
                <w:rFonts w:ascii="Calibri" w:hAnsi="Calibri" w:cs="Calibri"/>
                <w:sz w:val="22"/>
                <w:szCs w:val="22"/>
              </w:rPr>
            </w:pPr>
            <w:r>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0B3EF9" w:rsidRPr="00C408B2" w:rsidRDefault="0018504D" w:rsidP="00A54FAA">
            <w:pPr>
              <w:spacing w:after="0"/>
              <w:jc w:val="center"/>
              <w:rPr>
                <w:rFonts w:ascii="Calibri" w:hAnsi="Calibri" w:cs="Calibri"/>
                <w:sz w:val="22"/>
                <w:szCs w:val="22"/>
              </w:rPr>
            </w:pPr>
            <w:r>
              <w:rPr>
                <w:rFonts w:ascii="Calibri" w:hAnsi="Calibri" w:cs="Calibri"/>
                <w:sz w:val="22"/>
                <w:szCs w:val="22"/>
              </w:rPr>
              <w:t>4</w:t>
            </w:r>
          </w:p>
        </w:tc>
        <w:tc>
          <w:tcPr>
            <w:tcW w:w="992" w:type="dxa"/>
            <w:tcBorders>
              <w:top w:val="single" w:sz="4" w:space="0" w:color="auto"/>
              <w:left w:val="nil"/>
              <w:bottom w:val="single" w:sz="4" w:space="0" w:color="auto"/>
              <w:right w:val="single" w:sz="4" w:space="0" w:color="auto"/>
            </w:tcBorders>
          </w:tcPr>
          <w:p w:rsidR="000B3EF9" w:rsidRPr="00C408B2" w:rsidRDefault="0018504D" w:rsidP="00A54FAA">
            <w:pPr>
              <w:spacing w:after="0"/>
              <w:jc w:val="center"/>
              <w:rPr>
                <w:rFonts w:ascii="Calibri" w:hAnsi="Calibri" w:cs="Calibri"/>
                <w:sz w:val="22"/>
                <w:szCs w:val="22"/>
              </w:rPr>
            </w:pPr>
            <w:r>
              <w:rPr>
                <w:rFonts w:ascii="Calibri" w:hAnsi="Calibri" w:cs="Calibri"/>
                <w:sz w:val="22"/>
                <w:szCs w:val="22"/>
              </w:rPr>
              <w:t>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0B3EF9" w:rsidRPr="00C408B2" w:rsidRDefault="000B3EF9" w:rsidP="00A54FAA">
            <w:pPr>
              <w:spacing w:after="0"/>
              <w:jc w:val="center"/>
              <w:rPr>
                <w:rFonts w:ascii="Calibri" w:hAnsi="Calibri" w:cs="Calibri"/>
                <w:sz w:val="22"/>
                <w:szCs w:val="22"/>
              </w:rPr>
            </w:pPr>
          </w:p>
        </w:tc>
        <w:tc>
          <w:tcPr>
            <w:tcW w:w="992" w:type="dxa"/>
            <w:tcBorders>
              <w:top w:val="nil"/>
              <w:left w:val="nil"/>
              <w:bottom w:val="single" w:sz="4" w:space="0" w:color="auto"/>
              <w:right w:val="single" w:sz="4" w:space="0" w:color="auto"/>
            </w:tcBorders>
          </w:tcPr>
          <w:p w:rsidR="000B3EF9" w:rsidRPr="00C408B2" w:rsidRDefault="00B93664" w:rsidP="00A54FAA">
            <w:pPr>
              <w:spacing w:after="0"/>
              <w:jc w:val="center"/>
              <w:rPr>
                <w:rFonts w:ascii="Calibri" w:hAnsi="Calibri" w:cs="Calibri"/>
                <w:sz w:val="22"/>
                <w:szCs w:val="22"/>
              </w:rPr>
            </w:pPr>
            <w:r>
              <w:rPr>
                <w:rFonts w:ascii="Calibri" w:hAnsi="Calibri" w:cs="Calibri"/>
                <w:sz w:val="22"/>
                <w:szCs w:val="22"/>
              </w:rPr>
              <w:t>8</w:t>
            </w:r>
          </w:p>
        </w:tc>
        <w:tc>
          <w:tcPr>
            <w:tcW w:w="850" w:type="dxa"/>
            <w:tcBorders>
              <w:top w:val="nil"/>
              <w:left w:val="nil"/>
              <w:bottom w:val="single" w:sz="4" w:space="0" w:color="auto"/>
              <w:right w:val="single" w:sz="4" w:space="0" w:color="auto"/>
            </w:tcBorders>
          </w:tcPr>
          <w:p w:rsidR="000B3EF9" w:rsidRPr="00C408B2" w:rsidRDefault="00B93664" w:rsidP="00A54FAA">
            <w:pPr>
              <w:spacing w:after="0"/>
              <w:jc w:val="center"/>
              <w:rPr>
                <w:rFonts w:ascii="Calibri" w:hAnsi="Calibri" w:cs="Calibri"/>
                <w:sz w:val="22"/>
                <w:szCs w:val="22"/>
              </w:rPr>
            </w:pPr>
            <w:r>
              <w:rPr>
                <w:rFonts w:ascii="Calibri" w:hAnsi="Calibri" w:cs="Calibri"/>
                <w:sz w:val="22"/>
                <w:szCs w:val="22"/>
              </w:rPr>
              <w:t>10</w:t>
            </w:r>
          </w:p>
        </w:tc>
        <w:tc>
          <w:tcPr>
            <w:tcW w:w="854" w:type="dxa"/>
            <w:tcBorders>
              <w:top w:val="nil"/>
              <w:left w:val="nil"/>
              <w:bottom w:val="single" w:sz="4" w:space="0" w:color="auto"/>
              <w:right w:val="single" w:sz="4" w:space="0" w:color="auto"/>
            </w:tcBorders>
          </w:tcPr>
          <w:p w:rsidR="000B3EF9" w:rsidRPr="00C408B2" w:rsidRDefault="00B93664" w:rsidP="00A54FAA">
            <w:pPr>
              <w:spacing w:after="0"/>
              <w:jc w:val="center"/>
              <w:rPr>
                <w:rFonts w:ascii="Calibri" w:hAnsi="Calibri" w:cs="Calibri"/>
                <w:sz w:val="22"/>
                <w:szCs w:val="22"/>
              </w:rPr>
            </w:pPr>
            <w:r>
              <w:rPr>
                <w:rFonts w:ascii="Calibri" w:hAnsi="Calibri" w:cs="Calibri"/>
                <w:sz w:val="22"/>
                <w:szCs w:val="22"/>
              </w:rPr>
              <w:t>8</w:t>
            </w:r>
          </w:p>
        </w:tc>
      </w:tr>
    </w:tbl>
    <w:p w:rsidR="00D77273" w:rsidRPr="003E23A0" w:rsidRDefault="00D77273" w:rsidP="003E23A0">
      <w:pPr>
        <w:rPr>
          <w:rFonts w:ascii="Microsoft New Tai Lue" w:hAnsi="Microsoft New Tai Lue" w:cs="Microsoft New Tai Lue"/>
        </w:rPr>
      </w:pPr>
    </w:p>
    <w:p w:rsidR="00521C4A" w:rsidRPr="007B48E1" w:rsidRDefault="00B914A1" w:rsidP="00F37B58">
      <w:pPr>
        <w:pStyle w:val="ListParagraph"/>
        <w:numPr>
          <w:ilvl w:val="0"/>
          <w:numId w:val="35"/>
        </w:numPr>
        <w:rPr>
          <w:rFonts w:ascii="Microsoft New Tai Lue" w:hAnsi="Microsoft New Tai Lue" w:cs="Microsoft New Tai Lue"/>
          <w:b/>
        </w:rPr>
      </w:pPr>
      <w:r w:rsidRPr="003E23A0">
        <w:rPr>
          <w:rFonts w:ascii="Microsoft New Tai Lue" w:hAnsi="Microsoft New Tai Lue" w:cs="Microsoft New Tai Lue"/>
        </w:rPr>
        <w:t xml:space="preserve">Viability appraisals have been carried out for the transfer of these homes to the HRA and </w:t>
      </w:r>
      <w:r w:rsidR="00AD182B" w:rsidRPr="003E23A0">
        <w:rPr>
          <w:rFonts w:ascii="Microsoft New Tai Lue" w:hAnsi="Microsoft New Tai Lue" w:cs="Microsoft New Tai Lue"/>
        </w:rPr>
        <w:t xml:space="preserve">on a purchase price of </w:t>
      </w:r>
      <w:r w:rsidR="00DF547D" w:rsidRPr="00CF3959">
        <w:rPr>
          <w:rFonts w:ascii="Microsoft New Tai Lue" w:eastAsiaTheme="minorHAnsi" w:hAnsi="Microsoft New Tai Lue" w:cs="Microsoft New Tai Lue"/>
          <w:color w:val="FF0000"/>
          <w:lang w:eastAsia="en-US"/>
        </w:rPr>
        <w:t xml:space="preserve">£13,427,300 </w:t>
      </w:r>
      <w:r w:rsidR="00FC64C4">
        <w:rPr>
          <w:rFonts w:ascii="Microsoft New Tai Lue" w:eastAsiaTheme="minorHAnsi" w:hAnsi="Microsoft New Tai Lue" w:cs="Microsoft New Tai Lue"/>
          <w:color w:val="auto"/>
          <w:lang w:eastAsia="en-US"/>
        </w:rPr>
        <w:t xml:space="preserve">as shown in Appendix 1. </w:t>
      </w:r>
      <w:r w:rsidR="00DF547D" w:rsidRPr="00CF3959">
        <w:rPr>
          <w:rFonts w:ascii="Microsoft New Tai Lue" w:eastAsiaTheme="minorHAnsi" w:hAnsi="Microsoft New Tai Lue" w:cs="Microsoft New Tai Lue"/>
          <w:color w:val="FF0000"/>
          <w:lang w:eastAsia="en-US"/>
        </w:rPr>
        <w:t>Th</w:t>
      </w:r>
      <w:r w:rsidR="007B48E1" w:rsidRPr="00CF3959">
        <w:rPr>
          <w:rFonts w:ascii="Microsoft New Tai Lue" w:eastAsiaTheme="minorHAnsi" w:hAnsi="Microsoft New Tai Lue" w:cs="Microsoft New Tai Lue"/>
          <w:color w:val="FF0000"/>
          <w:lang w:eastAsia="en-US"/>
        </w:rPr>
        <w:t>e purchase price</w:t>
      </w:r>
      <w:r w:rsidR="00DF547D" w:rsidRPr="00CF3959">
        <w:rPr>
          <w:rFonts w:ascii="Microsoft New Tai Lue" w:eastAsiaTheme="minorHAnsi" w:hAnsi="Microsoft New Tai Lue" w:cs="Microsoft New Tai Lue"/>
          <w:color w:val="FF0000"/>
          <w:lang w:eastAsia="en-US"/>
        </w:rPr>
        <w:t xml:space="preserve"> was £13,217,300</w:t>
      </w:r>
      <w:r w:rsidR="00DF547D" w:rsidRPr="00CF3959">
        <w:rPr>
          <w:rFonts w:ascii="Microsoft New Tai Lue" w:hAnsi="Microsoft New Tai Lue" w:cs="Microsoft New Tai Lue"/>
          <w:color w:val="FF0000"/>
        </w:rPr>
        <w:t xml:space="preserve"> in the previously approved r</w:t>
      </w:r>
      <w:r w:rsidR="00926823">
        <w:rPr>
          <w:rFonts w:ascii="Microsoft New Tai Lue" w:hAnsi="Microsoft New Tai Lue" w:cs="Microsoft New Tai Lue"/>
          <w:color w:val="FF0000"/>
        </w:rPr>
        <w:t>eport but has increased by £210,000</w:t>
      </w:r>
      <w:r w:rsidR="00DF547D" w:rsidRPr="00CF3959">
        <w:rPr>
          <w:rFonts w:ascii="Microsoft New Tai Lue" w:hAnsi="Microsoft New Tai Lue" w:cs="Microsoft New Tai Lue"/>
          <w:color w:val="FF0000"/>
        </w:rPr>
        <w:t xml:space="preserve"> as a result of a recent valuation by Carter Jonas </w:t>
      </w:r>
      <w:r w:rsidR="00926823">
        <w:rPr>
          <w:rFonts w:ascii="Microsoft New Tai Lue" w:hAnsi="Microsoft New Tai Lue" w:cs="Microsoft New Tai Lue"/>
          <w:color w:val="FF0000"/>
        </w:rPr>
        <w:t xml:space="preserve">dated 2 June’21 </w:t>
      </w:r>
      <w:r w:rsidR="00DF547D" w:rsidRPr="00CF3959">
        <w:rPr>
          <w:rFonts w:ascii="Microsoft New Tai Lue" w:hAnsi="Microsoft New Tai Lue" w:cs="Microsoft New Tai Lue"/>
          <w:color w:val="FF0000"/>
        </w:rPr>
        <w:t xml:space="preserve">of the </w:t>
      </w:r>
      <w:r w:rsidR="0006184E" w:rsidRPr="00CF3959">
        <w:rPr>
          <w:rFonts w:ascii="Microsoft New Tai Lue" w:hAnsi="Microsoft New Tai Lue" w:cs="Microsoft New Tai Lue"/>
          <w:color w:val="FF0000"/>
        </w:rPr>
        <w:t xml:space="preserve">soon to be completed </w:t>
      </w:r>
      <w:r w:rsidR="00DF547D" w:rsidRPr="00CF3959">
        <w:rPr>
          <w:rFonts w:ascii="Microsoft New Tai Lue" w:hAnsi="Microsoft New Tai Lue" w:cs="Microsoft New Tai Lue"/>
          <w:color w:val="FF0000"/>
        </w:rPr>
        <w:t xml:space="preserve">development at Cumberlege Close. </w:t>
      </w:r>
      <w:r w:rsidR="00AD182B" w:rsidRPr="003E23A0">
        <w:rPr>
          <w:rFonts w:ascii="Microsoft New Tai Lue" w:hAnsi="Microsoft New Tai Lue" w:cs="Microsoft New Tai Lue"/>
        </w:rPr>
        <w:t xml:space="preserve">The </w:t>
      </w:r>
      <w:r w:rsidR="003F2631">
        <w:rPr>
          <w:rFonts w:ascii="Microsoft New Tai Lue" w:hAnsi="Microsoft New Tai Lue" w:cs="Microsoft New Tai Lue"/>
        </w:rPr>
        <w:t xml:space="preserve">net scheme cost </w:t>
      </w:r>
      <w:r w:rsidR="00AD182B" w:rsidRPr="003E23A0">
        <w:rPr>
          <w:rFonts w:ascii="Microsoft New Tai Lue" w:hAnsi="Microsoft New Tai Lue" w:cs="Microsoft New Tai Lue"/>
        </w:rPr>
        <w:t xml:space="preserve">is </w:t>
      </w:r>
      <w:r w:rsidR="00AD182B" w:rsidRPr="003E23A0">
        <w:rPr>
          <w:rFonts w:ascii="Microsoft New Tai Lue" w:hAnsi="Microsoft New Tai Lue" w:cs="Microsoft New Tai Lue"/>
        </w:rPr>
        <w:lastRenderedPageBreak/>
        <w:t>approximately</w:t>
      </w:r>
      <w:r w:rsidR="0068349A">
        <w:rPr>
          <w:rFonts w:ascii="Microsoft New Tai Lue" w:hAnsi="Microsoft New Tai Lue" w:cs="Microsoft New Tai Lue"/>
        </w:rPr>
        <w:t xml:space="preserve"> </w:t>
      </w:r>
      <w:r w:rsidR="003F2631" w:rsidRPr="00CF3959">
        <w:rPr>
          <w:rFonts w:ascii="Microsoft New Tai Lue" w:hAnsi="Microsoft New Tai Lue" w:cs="Microsoft New Tai Lue"/>
          <w:color w:val="000000" w:themeColor="text1"/>
        </w:rPr>
        <w:t>85</w:t>
      </w:r>
      <w:r w:rsidR="0068349A" w:rsidRPr="00CF3959">
        <w:rPr>
          <w:rFonts w:ascii="Microsoft New Tai Lue" w:hAnsi="Microsoft New Tai Lue" w:cs="Microsoft New Tai Lue"/>
          <w:color w:val="000000" w:themeColor="text1"/>
        </w:rPr>
        <w:t xml:space="preserve">% </w:t>
      </w:r>
      <w:r w:rsidR="003F2631">
        <w:rPr>
          <w:rFonts w:ascii="Microsoft New Tai Lue" w:hAnsi="Microsoft New Tai Lue" w:cs="Microsoft New Tai Lue"/>
        </w:rPr>
        <w:t>of the</w:t>
      </w:r>
      <w:r w:rsidR="00AD182B" w:rsidRPr="003E23A0">
        <w:rPr>
          <w:rFonts w:ascii="Microsoft New Tai Lue" w:hAnsi="Microsoft New Tai Lue" w:cs="Microsoft New Tai Lue"/>
        </w:rPr>
        <w:t xml:space="preserve"> open market value of the homes and is supported by </w:t>
      </w:r>
      <w:r w:rsidR="0068349A">
        <w:rPr>
          <w:rFonts w:ascii="Microsoft New Tai Lue" w:hAnsi="Microsoft New Tai Lue" w:cs="Microsoft New Tai Lue"/>
        </w:rPr>
        <w:t>£1.52</w:t>
      </w:r>
      <w:r w:rsidR="00AD182B" w:rsidRPr="0068349A">
        <w:rPr>
          <w:rFonts w:ascii="Microsoft New Tai Lue" w:hAnsi="Microsoft New Tai Lue" w:cs="Microsoft New Tai Lue"/>
        </w:rPr>
        <w:t>m</w:t>
      </w:r>
      <w:r w:rsidR="00AD182B" w:rsidRPr="00415F9B">
        <w:rPr>
          <w:rFonts w:ascii="Microsoft New Tai Lue" w:hAnsi="Microsoft New Tai Lue" w:cs="Microsoft New Tai Lue"/>
        </w:rPr>
        <w:t xml:space="preserve"> </w:t>
      </w:r>
      <w:r w:rsidR="00AD182B" w:rsidRPr="003E23A0">
        <w:rPr>
          <w:rFonts w:ascii="Microsoft New Tai Lue" w:hAnsi="Microsoft New Tai Lue" w:cs="Microsoft New Tai Lue"/>
        </w:rPr>
        <w:t>of Oxfordshire Growth Deal Affordable Housing grant.</w:t>
      </w:r>
    </w:p>
    <w:p w:rsidR="007B48E1" w:rsidRPr="008875B1" w:rsidRDefault="007B48E1" w:rsidP="007B48E1">
      <w:pPr>
        <w:pStyle w:val="ListParagraph"/>
        <w:numPr>
          <w:ilvl w:val="0"/>
          <w:numId w:val="35"/>
        </w:numPr>
        <w:rPr>
          <w:rFonts w:ascii="Microsoft New Tai Lue" w:hAnsi="Microsoft New Tai Lue" w:cs="Microsoft New Tai Lue"/>
        </w:rPr>
      </w:pPr>
      <w:r w:rsidRPr="008875B1">
        <w:rPr>
          <w:rFonts w:ascii="Microsoft New Tai Lue" w:hAnsi="Microsoft New Tai Lue" w:cs="Microsoft New Tai Lue"/>
        </w:rPr>
        <w:t>The authority has set a number of criteria when measuring the financial viability of schemes being purchased from the Company as follows :</w:t>
      </w:r>
    </w:p>
    <w:p w:rsidR="007B48E1" w:rsidRPr="003E23A0" w:rsidRDefault="007B48E1" w:rsidP="007B48E1">
      <w:pPr>
        <w:pStyle w:val="ListParagraph"/>
        <w:numPr>
          <w:ilvl w:val="0"/>
          <w:numId w:val="45"/>
        </w:numPr>
        <w:rPr>
          <w:rFonts w:ascii="Microsoft New Tai Lue" w:hAnsi="Microsoft New Tai Lue" w:cs="Microsoft New Tai Lue"/>
          <w:b/>
        </w:rPr>
      </w:pPr>
      <w:r w:rsidRPr="00EB110C">
        <w:rPr>
          <w:rFonts w:ascii="Microsoft New Tai Lue" w:hAnsi="Microsoft New Tai Lue" w:cs="Microsoft New Tai Lue"/>
          <w:b/>
        </w:rPr>
        <w:t>Internal Rate of Return</w:t>
      </w:r>
      <w:r>
        <w:rPr>
          <w:rFonts w:ascii="Microsoft New Tai Lue" w:hAnsi="Microsoft New Tai Lue" w:cs="Microsoft New Tai Lue"/>
          <w:b/>
        </w:rPr>
        <w:t xml:space="preserve"> – </w:t>
      </w:r>
      <w:r w:rsidRPr="008875B1">
        <w:rPr>
          <w:rFonts w:ascii="Microsoft New Tai Lue" w:hAnsi="Microsoft New Tai Lue" w:cs="Microsoft New Tai Lue"/>
        </w:rPr>
        <w:t xml:space="preserve">The IRR </w:t>
      </w:r>
      <w:r>
        <w:rPr>
          <w:rFonts w:ascii="Microsoft New Tai Lue" w:hAnsi="Microsoft New Tai Lue" w:cs="Microsoft New Tai Lue"/>
        </w:rPr>
        <w:t xml:space="preserve">threshold </w:t>
      </w:r>
      <w:r w:rsidRPr="008875B1">
        <w:rPr>
          <w:rFonts w:ascii="Microsoft New Tai Lue" w:hAnsi="Microsoft New Tai Lue" w:cs="Microsoft New Tai Lue"/>
        </w:rPr>
        <w:t xml:space="preserve">for the HRA is 3% </w:t>
      </w:r>
      <w:r>
        <w:rPr>
          <w:rFonts w:ascii="Microsoft New Tai Lue" w:hAnsi="Microsoft New Tai Lue" w:cs="Microsoft New Tai Lue"/>
        </w:rPr>
        <w:t>- these schemes achieve</w:t>
      </w:r>
      <w:r w:rsidRPr="0006184E">
        <w:rPr>
          <w:rFonts w:ascii="Microsoft New Tai Lue" w:hAnsi="Microsoft New Tai Lue" w:cs="Microsoft New Tai Lue"/>
          <w:color w:val="FF0000"/>
        </w:rPr>
        <w:t xml:space="preserve"> </w:t>
      </w:r>
      <w:r w:rsidR="0006184E" w:rsidRPr="00CF3959">
        <w:rPr>
          <w:rFonts w:ascii="Microsoft New Tai Lue" w:hAnsi="Microsoft New Tai Lue" w:cs="Microsoft New Tai Lue"/>
          <w:color w:val="FF0000"/>
        </w:rPr>
        <w:t>3.99</w:t>
      </w:r>
      <w:r w:rsidRPr="00CF3959">
        <w:rPr>
          <w:rFonts w:ascii="Microsoft New Tai Lue" w:hAnsi="Microsoft New Tai Lue" w:cs="Microsoft New Tai Lue"/>
          <w:color w:val="FF0000"/>
        </w:rPr>
        <w:t>%</w:t>
      </w:r>
      <w:r w:rsidR="0006184E" w:rsidRPr="00CF3959">
        <w:rPr>
          <w:rFonts w:ascii="Microsoft New Tai Lue" w:hAnsi="Microsoft New Tai Lue" w:cs="Microsoft New Tai Lue"/>
          <w:color w:val="FF0000"/>
        </w:rPr>
        <w:t>.</w:t>
      </w:r>
    </w:p>
    <w:p w:rsidR="007B48E1" w:rsidRPr="00CF3959" w:rsidRDefault="007B48E1" w:rsidP="007B48E1">
      <w:pPr>
        <w:pStyle w:val="ListParagraph"/>
        <w:numPr>
          <w:ilvl w:val="0"/>
          <w:numId w:val="45"/>
        </w:numPr>
        <w:rPr>
          <w:rFonts w:ascii="Microsoft New Tai Lue" w:hAnsi="Microsoft New Tai Lue" w:cs="Microsoft New Tai Lue"/>
          <w:color w:val="000000" w:themeColor="text1"/>
        </w:rPr>
      </w:pPr>
      <w:r w:rsidRPr="00CF3959">
        <w:rPr>
          <w:rFonts w:ascii="Microsoft New Tai Lue" w:hAnsi="Microsoft New Tai Lue" w:cs="Microsoft New Tai Lue"/>
          <w:b/>
          <w:color w:val="000000" w:themeColor="text1"/>
        </w:rPr>
        <w:t>Net Present Value –</w:t>
      </w:r>
      <w:r w:rsidRPr="00CF3959">
        <w:rPr>
          <w:rFonts w:ascii="Microsoft New Tai Lue" w:hAnsi="Microsoft New Tai Lue" w:cs="Microsoft New Tai Lue"/>
          <w:color w:val="000000" w:themeColor="text1"/>
        </w:rPr>
        <w:t xml:space="preserve"> The NPV threshold for the HRA is that it must be positive. Here it is </w:t>
      </w:r>
      <w:r w:rsidRPr="00CF3959">
        <w:rPr>
          <w:rFonts w:ascii="Microsoft New Tai Lue" w:hAnsi="Microsoft New Tai Lue" w:cs="Microsoft New Tai Lue"/>
          <w:color w:val="FF0000"/>
        </w:rPr>
        <w:t>£1.</w:t>
      </w:r>
      <w:r w:rsidR="0006184E" w:rsidRPr="00CF3959">
        <w:rPr>
          <w:rFonts w:ascii="Microsoft New Tai Lue" w:hAnsi="Microsoft New Tai Lue" w:cs="Microsoft New Tai Lue"/>
          <w:color w:val="FF0000"/>
        </w:rPr>
        <w:t>309</w:t>
      </w:r>
      <w:r w:rsidRPr="00CF3959">
        <w:rPr>
          <w:rFonts w:ascii="Microsoft New Tai Lue" w:hAnsi="Microsoft New Tai Lue" w:cs="Microsoft New Tai Lue"/>
          <w:color w:val="FF0000"/>
        </w:rPr>
        <w:t xml:space="preserve">m. </w:t>
      </w:r>
    </w:p>
    <w:p w:rsidR="007B48E1" w:rsidRPr="00CF3959" w:rsidRDefault="007B48E1" w:rsidP="007B48E1">
      <w:pPr>
        <w:pStyle w:val="ListParagraph"/>
        <w:numPr>
          <w:ilvl w:val="0"/>
          <w:numId w:val="45"/>
        </w:numPr>
        <w:rPr>
          <w:rFonts w:ascii="Microsoft New Tai Lue" w:hAnsi="Microsoft New Tai Lue" w:cs="Microsoft New Tai Lue"/>
          <w:color w:val="000000" w:themeColor="text1"/>
        </w:rPr>
      </w:pPr>
      <w:r w:rsidRPr="00CF3959">
        <w:rPr>
          <w:rFonts w:ascii="Microsoft New Tai Lue" w:hAnsi="Microsoft New Tai Lue" w:cs="Microsoft New Tai Lue"/>
          <w:b/>
          <w:color w:val="000000" w:themeColor="text1"/>
        </w:rPr>
        <w:t xml:space="preserve">Payback – </w:t>
      </w:r>
      <w:r w:rsidRPr="00CF3959">
        <w:rPr>
          <w:rFonts w:ascii="Microsoft New Tai Lue" w:hAnsi="Microsoft New Tai Lue" w:cs="Microsoft New Tai Lue"/>
          <w:color w:val="000000" w:themeColor="text1"/>
        </w:rPr>
        <w:t xml:space="preserve">The payback threshold for the HRA is below 70 years. These schemes pay back in </w:t>
      </w:r>
      <w:r w:rsidRPr="00CF3959">
        <w:rPr>
          <w:rFonts w:ascii="Microsoft New Tai Lue" w:hAnsi="Microsoft New Tai Lue" w:cs="Microsoft New Tai Lue"/>
          <w:color w:val="FF0000"/>
        </w:rPr>
        <w:t>4</w:t>
      </w:r>
      <w:r w:rsidR="0006184E" w:rsidRPr="00CF3959">
        <w:rPr>
          <w:rFonts w:ascii="Microsoft New Tai Lue" w:hAnsi="Microsoft New Tai Lue" w:cs="Microsoft New Tai Lue"/>
          <w:color w:val="FF0000"/>
        </w:rPr>
        <w:t>3</w:t>
      </w:r>
      <w:r w:rsidRPr="00CF3959">
        <w:rPr>
          <w:rFonts w:ascii="Microsoft New Tai Lue" w:hAnsi="Microsoft New Tai Lue" w:cs="Microsoft New Tai Lue"/>
          <w:color w:val="000000" w:themeColor="text1"/>
        </w:rPr>
        <w:t xml:space="preserve"> years. </w:t>
      </w:r>
    </w:p>
    <w:p w:rsidR="00F12A6E" w:rsidRPr="00F12A6E" w:rsidRDefault="00B42B60" w:rsidP="00F12A6E">
      <w:pPr>
        <w:pStyle w:val="ListParagraph"/>
        <w:numPr>
          <w:ilvl w:val="0"/>
          <w:numId w:val="35"/>
        </w:numPr>
        <w:rPr>
          <w:rFonts w:ascii="Microsoft New Tai Lue" w:hAnsi="Microsoft New Tai Lue" w:cs="Microsoft New Tai Lue"/>
          <w:b/>
        </w:rPr>
      </w:pPr>
      <w:r>
        <w:rPr>
          <w:rFonts w:ascii="Microsoft New Tai Lue" w:hAnsi="Microsoft New Tai Lue" w:cs="Microsoft New Tai Lue"/>
        </w:rPr>
        <w:t xml:space="preserve">Construction works started in August 2020 and </w:t>
      </w:r>
      <w:r w:rsidR="00904741">
        <w:rPr>
          <w:rFonts w:ascii="Microsoft New Tai Lue" w:hAnsi="Microsoft New Tai Lue" w:cs="Microsoft New Tai Lue"/>
        </w:rPr>
        <w:t xml:space="preserve">Cumberlege is </w:t>
      </w:r>
      <w:r>
        <w:rPr>
          <w:rFonts w:ascii="Microsoft New Tai Lue" w:hAnsi="Microsoft New Tai Lue" w:cs="Microsoft New Tai Lue"/>
        </w:rPr>
        <w:t xml:space="preserve">due to complete in </w:t>
      </w:r>
      <w:r w:rsidR="005E5B66">
        <w:rPr>
          <w:rFonts w:ascii="Microsoft New Tai Lue" w:hAnsi="Microsoft New Tai Lue" w:cs="Microsoft New Tai Lue"/>
        </w:rPr>
        <w:t>July 2021</w:t>
      </w:r>
      <w:r>
        <w:rPr>
          <w:rFonts w:ascii="Microsoft New Tai Lue" w:hAnsi="Microsoft New Tai Lue" w:cs="Microsoft New Tai Lue"/>
        </w:rPr>
        <w:t xml:space="preserve"> with </w:t>
      </w:r>
      <w:r w:rsidR="00904741">
        <w:rPr>
          <w:rFonts w:ascii="Microsoft New Tai Lue" w:hAnsi="Microsoft New Tai Lue" w:cs="Microsoft New Tai Lue"/>
        </w:rPr>
        <w:t>E</w:t>
      </w:r>
      <w:r w:rsidR="00335024">
        <w:rPr>
          <w:rFonts w:ascii="Microsoft New Tai Lue" w:hAnsi="Microsoft New Tai Lue" w:cs="Microsoft New Tai Lue"/>
        </w:rPr>
        <w:t>l</w:t>
      </w:r>
      <w:r w:rsidR="00904741">
        <w:rPr>
          <w:rFonts w:ascii="Microsoft New Tai Lue" w:hAnsi="Microsoft New Tai Lue" w:cs="Microsoft New Tai Lue"/>
        </w:rPr>
        <w:t xml:space="preserve">sfield Hall </w:t>
      </w:r>
      <w:r w:rsidR="00D7108B">
        <w:rPr>
          <w:rFonts w:ascii="Microsoft New Tai Lue" w:hAnsi="Microsoft New Tai Lue" w:cs="Microsoft New Tai Lue"/>
        </w:rPr>
        <w:t xml:space="preserve">expected </w:t>
      </w:r>
      <w:r w:rsidR="00C536B3">
        <w:rPr>
          <w:rFonts w:ascii="Microsoft New Tai Lue" w:hAnsi="Microsoft New Tai Lue" w:cs="Microsoft New Tai Lue"/>
        </w:rPr>
        <w:t xml:space="preserve">to complete </w:t>
      </w:r>
      <w:r w:rsidR="00904741">
        <w:rPr>
          <w:rFonts w:ascii="Microsoft New Tai Lue" w:hAnsi="Microsoft New Tai Lue" w:cs="Microsoft New Tai Lue"/>
        </w:rPr>
        <w:t>next year</w:t>
      </w:r>
      <w:r>
        <w:rPr>
          <w:rFonts w:ascii="Microsoft New Tai Lue" w:hAnsi="Microsoft New Tai Lue" w:cs="Microsoft New Tai Lue"/>
        </w:rPr>
        <w:t xml:space="preserve"> in August 2022.</w:t>
      </w:r>
      <w:r w:rsidR="00F12A6E" w:rsidRPr="00F12A6E">
        <w:rPr>
          <w:rFonts w:ascii="Microsoft New Tai Lue" w:hAnsi="Microsoft New Tai Lue" w:cs="Microsoft New Tai Lue"/>
          <w:color w:val="auto"/>
        </w:rPr>
        <w:t xml:space="preserve"> </w:t>
      </w:r>
      <w:r w:rsidR="00F12A6E">
        <w:rPr>
          <w:rFonts w:ascii="Microsoft New Tai Lue" w:hAnsi="Microsoft New Tai Lue" w:cs="Microsoft New Tai Lue"/>
          <w:color w:val="auto"/>
        </w:rPr>
        <w:t>It is important to note that the payment for the affordable homes will be staggered accordingly and comprise of the following amounts:</w:t>
      </w:r>
    </w:p>
    <w:p w:rsidR="00F12A6E" w:rsidRPr="00F12A6E" w:rsidRDefault="00F12A6E" w:rsidP="00F12A6E">
      <w:pPr>
        <w:pStyle w:val="ListParagraph"/>
        <w:numPr>
          <w:ilvl w:val="1"/>
          <w:numId w:val="35"/>
        </w:numPr>
        <w:rPr>
          <w:rFonts w:ascii="Microsoft New Tai Lue" w:hAnsi="Microsoft New Tai Lue" w:cs="Microsoft New Tai Lue"/>
          <w:b/>
        </w:rPr>
      </w:pPr>
      <w:r>
        <w:rPr>
          <w:rFonts w:ascii="Microsoft New Tai Lue" w:hAnsi="Microsoft New Tai Lue" w:cs="Microsoft New Tai Lue"/>
          <w:color w:val="auto"/>
        </w:rPr>
        <w:t xml:space="preserve">Cumberlege Close for </w:t>
      </w:r>
      <w:r w:rsidR="007B48E1" w:rsidRPr="007B48E1">
        <w:rPr>
          <w:rFonts w:ascii="Microsoft New Tai Lue" w:hAnsi="Microsoft New Tai Lue" w:cs="Microsoft New Tai Lue"/>
          <w:color w:val="FF0000"/>
        </w:rPr>
        <w:t>£4,560,000</w:t>
      </w:r>
    </w:p>
    <w:p w:rsidR="00B42B60" w:rsidRPr="00F12A6E" w:rsidRDefault="00F12A6E" w:rsidP="00F12A6E">
      <w:pPr>
        <w:pStyle w:val="ListParagraph"/>
        <w:numPr>
          <w:ilvl w:val="1"/>
          <w:numId w:val="35"/>
        </w:numPr>
        <w:rPr>
          <w:rFonts w:ascii="Microsoft New Tai Lue" w:hAnsi="Microsoft New Tai Lue" w:cs="Microsoft New Tai Lue"/>
          <w:b/>
        </w:rPr>
      </w:pPr>
      <w:r>
        <w:rPr>
          <w:rFonts w:ascii="Microsoft New Tai Lue" w:hAnsi="Microsoft New Tai Lue" w:cs="Microsoft New Tai Lue"/>
          <w:color w:val="auto"/>
        </w:rPr>
        <w:t>Elsfield Hall for £8,867,300</w:t>
      </w:r>
    </w:p>
    <w:p w:rsidR="0040736F" w:rsidRPr="00157739" w:rsidRDefault="002329CF" w:rsidP="004A6D2F">
      <w:pPr>
        <w:pStyle w:val="Heading1"/>
        <w:rPr>
          <w:rFonts w:ascii="Microsoft New Tai Lue" w:hAnsi="Microsoft New Tai Lue" w:cs="Microsoft New Tai Lue"/>
        </w:rPr>
      </w:pPr>
      <w:r w:rsidRPr="00157739">
        <w:rPr>
          <w:rFonts w:ascii="Microsoft New Tai Lue" w:hAnsi="Microsoft New Tai Lue" w:cs="Microsoft New Tai Lue"/>
        </w:rPr>
        <w:t>Financial implications</w:t>
      </w:r>
    </w:p>
    <w:p w:rsidR="00902EF3" w:rsidRPr="00B845B6" w:rsidRDefault="00902EF3" w:rsidP="00902EF3">
      <w:pPr>
        <w:pStyle w:val="ListParagraph"/>
        <w:numPr>
          <w:ilvl w:val="0"/>
          <w:numId w:val="35"/>
        </w:numPr>
        <w:rPr>
          <w:rFonts w:ascii="Microsoft New Tai Lue" w:hAnsi="Microsoft New Tai Lue" w:cs="Microsoft New Tai Lue"/>
          <w:color w:val="auto"/>
        </w:rPr>
      </w:pPr>
      <w:r>
        <w:rPr>
          <w:rFonts w:ascii="Microsoft New Tai Lue" w:hAnsi="Microsoft New Tai Lue" w:cs="Microsoft New Tai Lue"/>
        </w:rPr>
        <w:t>The HRA will finance the purchase of houses via external borrowing for which provision has been made in the Councils HRA. Based on the financial criteria set out in the report the scheme is considered financial viable for the HRA. Other financial implications are set out in the body of the report.</w:t>
      </w:r>
    </w:p>
    <w:p w:rsidR="0040736F" w:rsidRPr="00B845B6" w:rsidRDefault="00DA614B" w:rsidP="001E3D33">
      <w:pPr>
        <w:rPr>
          <w:rFonts w:ascii="Microsoft New Tai Lue" w:hAnsi="Microsoft New Tai Lue" w:cs="Microsoft New Tai Lue"/>
          <w:b/>
          <w:color w:val="auto"/>
        </w:rPr>
      </w:pPr>
      <w:r w:rsidRPr="00B845B6">
        <w:rPr>
          <w:rFonts w:ascii="Microsoft New Tai Lue" w:hAnsi="Microsoft New Tai Lue" w:cs="Microsoft New Tai Lue"/>
          <w:b/>
          <w:color w:val="auto"/>
        </w:rPr>
        <w:t>Legal issues</w:t>
      </w:r>
    </w:p>
    <w:p w:rsidR="002B5084" w:rsidRPr="00B845B6" w:rsidRDefault="00BB63F9" w:rsidP="00CC4ED0">
      <w:pPr>
        <w:pStyle w:val="ListParagraph"/>
        <w:numPr>
          <w:ilvl w:val="0"/>
          <w:numId w:val="35"/>
        </w:numPr>
        <w:rPr>
          <w:rFonts w:ascii="Microsoft New Tai Lue" w:hAnsi="Microsoft New Tai Lue" w:cs="Microsoft New Tai Lue"/>
          <w:color w:val="auto"/>
        </w:rPr>
      </w:pPr>
      <w:r w:rsidRPr="00B845B6">
        <w:rPr>
          <w:rFonts w:ascii="Microsoft New Tai Lue" w:hAnsi="Microsoft New Tai Lue" w:cs="Microsoft New Tai Lue"/>
          <w:color w:val="auto"/>
        </w:rPr>
        <w:t>The legal issues have been set out in the body of the report.</w:t>
      </w:r>
      <w:r w:rsidR="00D228D3" w:rsidRPr="00B845B6">
        <w:rPr>
          <w:rFonts w:ascii="Microsoft New Tai Lue" w:hAnsi="Microsoft New Tai Lue" w:cs="Microsoft New Tai Lue"/>
          <w:color w:val="auto"/>
        </w:rPr>
        <w:t xml:space="preserve"> </w:t>
      </w:r>
    </w:p>
    <w:p w:rsidR="002329CF" w:rsidRPr="00B845B6" w:rsidRDefault="002329CF" w:rsidP="004A6D2F">
      <w:pPr>
        <w:pStyle w:val="Heading1"/>
        <w:rPr>
          <w:rFonts w:ascii="Microsoft New Tai Lue" w:hAnsi="Microsoft New Tai Lue" w:cs="Microsoft New Tai Lue"/>
          <w:color w:val="auto"/>
        </w:rPr>
      </w:pPr>
      <w:r w:rsidRPr="00B845B6">
        <w:rPr>
          <w:rFonts w:ascii="Microsoft New Tai Lue" w:hAnsi="Microsoft New Tai Lue" w:cs="Microsoft New Tai Lue"/>
          <w:color w:val="auto"/>
        </w:rPr>
        <w:t>Level of risk</w:t>
      </w:r>
    </w:p>
    <w:p w:rsidR="00BC69A4" w:rsidRPr="00B845B6" w:rsidRDefault="00D228D3" w:rsidP="00CC4ED0">
      <w:pPr>
        <w:pStyle w:val="ListParagraph"/>
        <w:numPr>
          <w:ilvl w:val="0"/>
          <w:numId w:val="35"/>
        </w:numPr>
        <w:rPr>
          <w:rFonts w:ascii="Microsoft New Tai Lue" w:hAnsi="Microsoft New Tai Lue" w:cs="Microsoft New Tai Lue"/>
          <w:color w:val="auto"/>
        </w:rPr>
      </w:pPr>
      <w:r w:rsidRPr="00B845B6">
        <w:rPr>
          <w:rFonts w:ascii="Microsoft New Tai Lue" w:hAnsi="Microsoft New Tai Lue" w:cs="Microsoft New Tai Lue"/>
          <w:color w:val="auto"/>
        </w:rPr>
        <w:t xml:space="preserve">The significant risk is that the </w:t>
      </w:r>
      <w:r w:rsidR="00583B9F">
        <w:rPr>
          <w:rFonts w:ascii="Microsoft New Tai Lue" w:hAnsi="Microsoft New Tai Lue" w:cs="Microsoft New Tai Lue"/>
          <w:color w:val="auto"/>
        </w:rPr>
        <w:t>H</w:t>
      </w:r>
      <w:r w:rsidR="00902EF3">
        <w:rPr>
          <w:rFonts w:ascii="Microsoft New Tai Lue" w:hAnsi="Microsoft New Tai Lue" w:cs="Microsoft New Tai Lue"/>
          <w:color w:val="auto"/>
        </w:rPr>
        <w:t xml:space="preserve">RA may pay too much for these </w:t>
      </w:r>
      <w:r w:rsidR="00A4261C">
        <w:rPr>
          <w:rFonts w:ascii="Microsoft New Tai Lue" w:hAnsi="Microsoft New Tai Lue" w:cs="Microsoft New Tai Lue"/>
          <w:color w:val="auto"/>
        </w:rPr>
        <w:t>35</w:t>
      </w:r>
      <w:r w:rsidR="00583B9F">
        <w:rPr>
          <w:rFonts w:ascii="Microsoft New Tai Lue" w:hAnsi="Microsoft New Tai Lue" w:cs="Microsoft New Tai Lue"/>
          <w:color w:val="auto"/>
        </w:rPr>
        <w:t xml:space="preserve"> homes considering their income streams – this has been removed by carrying out a detailed viability analysis</w:t>
      </w:r>
      <w:r w:rsidRPr="00B845B6">
        <w:rPr>
          <w:rFonts w:ascii="Microsoft New Tai Lue" w:hAnsi="Microsoft New Tai Lue" w:cs="Microsoft New Tai Lue"/>
          <w:color w:val="auto"/>
        </w:rPr>
        <w:t xml:space="preserve"> </w:t>
      </w:r>
      <w:r w:rsidR="00583B9F">
        <w:rPr>
          <w:rFonts w:ascii="Microsoft New Tai Lue" w:hAnsi="Microsoft New Tai Lue" w:cs="Microsoft New Tai Lue"/>
          <w:color w:val="auto"/>
        </w:rPr>
        <w:t>using the HRA Business Plan appraisal software, Abovo, which has demonstrated a financial performance within required parameters.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845B6" w:rsidRPr="00B845B6" w:rsidTr="002B2F8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B5084" w:rsidRPr="00B845B6" w:rsidRDefault="002B5084" w:rsidP="002B2F8C">
            <w:pPr>
              <w:rPr>
                <w:rFonts w:ascii="Microsoft New Tai Lue" w:hAnsi="Microsoft New Tai Lue" w:cs="Microsoft New Tai Lue"/>
                <w:b/>
                <w:color w:val="auto"/>
              </w:rPr>
            </w:pPr>
            <w:r w:rsidRPr="00B845B6">
              <w:rPr>
                <w:rFonts w:ascii="Microsoft New Tai Lue" w:hAnsi="Microsoft New Tai Lue" w:cs="Microsoft New Tai Lue"/>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B5084" w:rsidRPr="00B845B6" w:rsidRDefault="007B48E1" w:rsidP="002B2F8C">
            <w:pPr>
              <w:rPr>
                <w:rFonts w:ascii="Microsoft New Tai Lue" w:hAnsi="Microsoft New Tai Lue" w:cs="Microsoft New Tai Lue"/>
                <w:color w:val="auto"/>
              </w:rPr>
            </w:pPr>
            <w:r>
              <w:rPr>
                <w:rFonts w:ascii="Microsoft New Tai Lue" w:hAnsi="Microsoft New Tai Lue" w:cs="Microsoft New Tai Lue"/>
                <w:color w:val="auto"/>
              </w:rPr>
              <w:t>Lila Haracz</w:t>
            </w:r>
          </w:p>
        </w:tc>
      </w:tr>
      <w:tr w:rsidR="00B845B6" w:rsidRPr="00B845B6" w:rsidTr="002B00E8">
        <w:trPr>
          <w:cantSplit/>
          <w:trHeight w:val="396"/>
        </w:trPr>
        <w:tc>
          <w:tcPr>
            <w:tcW w:w="3969" w:type="dxa"/>
            <w:tcBorders>
              <w:top w:val="single" w:sz="8" w:space="0" w:color="000000"/>
              <w:left w:val="single" w:sz="8" w:space="0" w:color="000000"/>
              <w:bottom w:val="nil"/>
              <w:right w:val="nil"/>
            </w:tcBorders>
            <w:shd w:val="clear" w:color="auto" w:fill="auto"/>
          </w:tcPr>
          <w:p w:rsidR="002B5084" w:rsidRPr="00B845B6" w:rsidRDefault="002B5084" w:rsidP="002B2F8C">
            <w:pPr>
              <w:rPr>
                <w:rFonts w:ascii="Microsoft New Tai Lue" w:hAnsi="Microsoft New Tai Lue" w:cs="Microsoft New Tai Lue"/>
                <w:color w:val="auto"/>
              </w:rPr>
            </w:pPr>
            <w:r w:rsidRPr="00B845B6">
              <w:rPr>
                <w:rFonts w:ascii="Microsoft New Tai Lue" w:hAnsi="Microsoft New Tai Lue" w:cs="Microsoft New Tai Lue"/>
                <w:color w:val="auto"/>
              </w:rPr>
              <w:t>Job title</w:t>
            </w:r>
          </w:p>
        </w:tc>
        <w:tc>
          <w:tcPr>
            <w:tcW w:w="4962" w:type="dxa"/>
            <w:tcBorders>
              <w:top w:val="single" w:sz="8" w:space="0" w:color="000000"/>
              <w:left w:val="nil"/>
              <w:bottom w:val="nil"/>
              <w:right w:val="single" w:sz="8" w:space="0" w:color="000000"/>
            </w:tcBorders>
            <w:shd w:val="clear" w:color="auto" w:fill="auto"/>
          </w:tcPr>
          <w:p w:rsidR="002B00E8" w:rsidRPr="00B845B6" w:rsidRDefault="007B48E1" w:rsidP="007B48E1">
            <w:pPr>
              <w:rPr>
                <w:rFonts w:ascii="Microsoft New Tai Lue" w:hAnsi="Microsoft New Tai Lue" w:cs="Microsoft New Tai Lue"/>
                <w:color w:val="auto"/>
              </w:rPr>
            </w:pPr>
            <w:r>
              <w:rPr>
                <w:rFonts w:ascii="Microsoft New Tai Lue" w:hAnsi="Microsoft New Tai Lue" w:cs="Microsoft New Tai Lue"/>
                <w:color w:val="auto"/>
              </w:rPr>
              <w:t xml:space="preserve">Senior </w:t>
            </w:r>
            <w:r w:rsidR="00583B9F">
              <w:rPr>
                <w:rFonts w:ascii="Microsoft New Tai Lue" w:hAnsi="Microsoft New Tai Lue" w:cs="Microsoft New Tai Lue"/>
                <w:color w:val="auto"/>
              </w:rPr>
              <w:t xml:space="preserve">Housing Development </w:t>
            </w:r>
            <w:r>
              <w:rPr>
                <w:rFonts w:ascii="Microsoft New Tai Lue" w:hAnsi="Microsoft New Tai Lue" w:cs="Microsoft New Tai Lue"/>
                <w:color w:val="auto"/>
              </w:rPr>
              <w:t>Officer</w:t>
            </w:r>
          </w:p>
        </w:tc>
      </w:tr>
      <w:tr w:rsidR="002B5084" w:rsidRPr="00157739" w:rsidTr="002B2F8C">
        <w:trPr>
          <w:cantSplit/>
          <w:trHeight w:val="396"/>
        </w:trPr>
        <w:tc>
          <w:tcPr>
            <w:tcW w:w="3969" w:type="dxa"/>
            <w:tcBorders>
              <w:top w:val="nil"/>
              <w:left w:val="single" w:sz="8" w:space="0" w:color="000000"/>
              <w:bottom w:val="nil"/>
              <w:right w:val="nil"/>
            </w:tcBorders>
            <w:shd w:val="clear" w:color="auto" w:fill="auto"/>
          </w:tcPr>
          <w:p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Service area or department</w:t>
            </w:r>
          </w:p>
        </w:tc>
        <w:tc>
          <w:tcPr>
            <w:tcW w:w="4962" w:type="dxa"/>
            <w:tcBorders>
              <w:top w:val="nil"/>
              <w:left w:val="nil"/>
              <w:bottom w:val="nil"/>
              <w:right w:val="single" w:sz="8" w:space="0" w:color="000000"/>
            </w:tcBorders>
            <w:shd w:val="clear" w:color="auto" w:fill="auto"/>
          </w:tcPr>
          <w:p w:rsidR="002B5084" w:rsidRPr="00157739" w:rsidRDefault="002B00E8" w:rsidP="002B00E8">
            <w:pPr>
              <w:rPr>
                <w:rFonts w:ascii="Microsoft New Tai Lue" w:hAnsi="Microsoft New Tai Lue" w:cs="Microsoft New Tai Lue"/>
                <w:color w:val="auto"/>
              </w:rPr>
            </w:pPr>
            <w:r w:rsidRPr="00157739">
              <w:rPr>
                <w:rFonts w:ascii="Microsoft New Tai Lue" w:hAnsi="Microsoft New Tai Lue" w:cs="Microsoft New Tai Lue"/>
                <w:color w:val="auto"/>
              </w:rPr>
              <w:t>Rege</w:t>
            </w:r>
            <w:r w:rsidR="00F8762E" w:rsidRPr="00157739">
              <w:rPr>
                <w:rFonts w:ascii="Microsoft New Tai Lue" w:hAnsi="Microsoft New Tai Lue" w:cs="Microsoft New Tai Lue"/>
                <w:color w:val="auto"/>
              </w:rPr>
              <w:t>ne</w:t>
            </w:r>
            <w:r w:rsidRPr="00157739">
              <w:rPr>
                <w:rFonts w:ascii="Microsoft New Tai Lue" w:hAnsi="Microsoft New Tai Lue" w:cs="Microsoft New Tai Lue"/>
                <w:color w:val="auto"/>
              </w:rPr>
              <w:t>ration and Major Projects</w:t>
            </w:r>
            <w:r w:rsidR="00F577F3">
              <w:rPr>
                <w:rFonts w:ascii="Microsoft New Tai Lue" w:hAnsi="Microsoft New Tai Lue" w:cs="Microsoft New Tai Lue"/>
                <w:color w:val="auto"/>
              </w:rPr>
              <w:t xml:space="preserve"> Team</w:t>
            </w:r>
          </w:p>
        </w:tc>
      </w:tr>
      <w:tr w:rsidR="002B5084" w:rsidRPr="00157739" w:rsidTr="002B2F8C">
        <w:trPr>
          <w:cantSplit/>
          <w:trHeight w:val="396"/>
        </w:trPr>
        <w:tc>
          <w:tcPr>
            <w:tcW w:w="3969" w:type="dxa"/>
            <w:tcBorders>
              <w:top w:val="nil"/>
              <w:left w:val="single" w:sz="8" w:space="0" w:color="000000"/>
              <w:bottom w:val="nil"/>
              <w:right w:val="nil"/>
            </w:tcBorders>
            <w:shd w:val="clear" w:color="auto" w:fill="auto"/>
          </w:tcPr>
          <w:p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 xml:space="preserve">Telephone </w:t>
            </w:r>
          </w:p>
        </w:tc>
        <w:tc>
          <w:tcPr>
            <w:tcW w:w="4962" w:type="dxa"/>
            <w:tcBorders>
              <w:top w:val="nil"/>
              <w:left w:val="nil"/>
              <w:bottom w:val="nil"/>
              <w:right w:val="single" w:sz="8" w:space="0" w:color="000000"/>
            </w:tcBorders>
            <w:shd w:val="clear" w:color="auto" w:fill="auto"/>
          </w:tcPr>
          <w:p w:rsidR="002B5084" w:rsidRPr="00157739" w:rsidRDefault="00BB63F9" w:rsidP="00583B9F">
            <w:pPr>
              <w:rPr>
                <w:rFonts w:ascii="Microsoft New Tai Lue" w:hAnsi="Microsoft New Tai Lue" w:cs="Microsoft New Tai Lue"/>
                <w:color w:val="auto"/>
              </w:rPr>
            </w:pPr>
            <w:r w:rsidRPr="00157739">
              <w:rPr>
                <w:rFonts w:ascii="Microsoft New Tai Lue" w:hAnsi="Microsoft New Tai Lue" w:cs="Microsoft New Tai Lue"/>
                <w:color w:val="auto"/>
              </w:rPr>
              <w:t>01865</w:t>
            </w:r>
            <w:r w:rsidR="008776E2">
              <w:rPr>
                <w:rFonts w:ascii="Microsoft New Tai Lue" w:hAnsi="Microsoft New Tai Lue" w:cs="Microsoft New Tai Lue"/>
                <w:color w:val="auto"/>
              </w:rPr>
              <w:t xml:space="preserve"> </w:t>
            </w:r>
            <w:r w:rsidRPr="00157739">
              <w:rPr>
                <w:rFonts w:ascii="Microsoft New Tai Lue" w:hAnsi="Microsoft New Tai Lue" w:cs="Microsoft New Tai Lue"/>
                <w:color w:val="auto"/>
              </w:rPr>
              <w:t>252</w:t>
            </w:r>
            <w:r w:rsidR="007B48E1">
              <w:rPr>
                <w:rFonts w:ascii="Microsoft New Tai Lue" w:hAnsi="Microsoft New Tai Lue" w:cs="Microsoft New Tai Lue"/>
                <w:color w:val="auto"/>
              </w:rPr>
              <w:t>418</w:t>
            </w:r>
          </w:p>
        </w:tc>
      </w:tr>
      <w:tr w:rsidR="002B5084" w:rsidRPr="00157739" w:rsidTr="002B2F8C">
        <w:trPr>
          <w:cantSplit/>
          <w:trHeight w:val="396"/>
        </w:trPr>
        <w:tc>
          <w:tcPr>
            <w:tcW w:w="3969" w:type="dxa"/>
            <w:tcBorders>
              <w:top w:val="nil"/>
              <w:left w:val="single" w:sz="8" w:space="0" w:color="000000"/>
              <w:bottom w:val="single" w:sz="8" w:space="0" w:color="000000"/>
              <w:right w:val="nil"/>
            </w:tcBorders>
            <w:shd w:val="clear" w:color="auto" w:fill="auto"/>
          </w:tcPr>
          <w:p w:rsidR="002B5084" w:rsidRPr="00157739" w:rsidRDefault="002B5084" w:rsidP="002B2F8C">
            <w:pPr>
              <w:rPr>
                <w:rFonts w:ascii="Microsoft New Tai Lue" w:hAnsi="Microsoft New Tai Lue" w:cs="Microsoft New Tai Lue"/>
                <w:color w:val="auto"/>
              </w:rPr>
            </w:pPr>
            <w:r w:rsidRPr="00157739">
              <w:rPr>
                <w:rFonts w:ascii="Microsoft New Tai Lue" w:hAnsi="Microsoft New Tai Lue" w:cs="Microsoft New Tai Lue"/>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2B5084" w:rsidRPr="00F577F3" w:rsidRDefault="007B48E1" w:rsidP="00583B9F">
            <w:pPr>
              <w:rPr>
                <w:rStyle w:val="Hyperlink"/>
                <w:rFonts w:ascii="Microsoft New Tai Lue" w:hAnsi="Microsoft New Tai Lue" w:cs="Microsoft New Tai Lue"/>
                <w:color w:val="auto"/>
                <w:u w:val="none"/>
              </w:rPr>
            </w:pPr>
            <w:r>
              <w:rPr>
                <w:rStyle w:val="Hyperlink"/>
                <w:rFonts w:ascii="Microsoft New Tai Lue" w:hAnsi="Microsoft New Tai Lue" w:cs="Microsoft New Tai Lue"/>
                <w:color w:val="auto"/>
                <w:u w:val="none"/>
              </w:rPr>
              <w:t>lharacz</w:t>
            </w:r>
            <w:r w:rsidR="00F577F3" w:rsidRPr="00F577F3">
              <w:rPr>
                <w:rStyle w:val="Hyperlink"/>
                <w:rFonts w:ascii="Microsoft New Tai Lue" w:hAnsi="Microsoft New Tai Lue" w:cs="Microsoft New Tai Lue"/>
                <w:color w:val="auto"/>
                <w:u w:val="none"/>
              </w:rPr>
              <w:t>@oxford.gov.uk</w:t>
            </w:r>
          </w:p>
        </w:tc>
      </w:tr>
    </w:tbl>
    <w:p w:rsidR="005177DE" w:rsidRDefault="005177DE" w:rsidP="00487B27">
      <w:pPr>
        <w:rPr>
          <w:rFonts w:ascii="Microsoft New Tai Lue" w:eastAsiaTheme="minorHAnsi" w:hAnsi="Microsoft New Tai Lue" w:cs="Microsoft New Tai Lue"/>
          <w:color w:val="auto"/>
          <w:lang w:eastAsia="en-US"/>
        </w:rPr>
      </w:pPr>
    </w:p>
    <w:p w:rsidR="00912CC1" w:rsidRDefault="00912CC1" w:rsidP="00912CC1">
      <w:pPr>
        <w:spacing w:after="0"/>
        <w:rPr>
          <w:rFonts w:ascii="Microsoft New Tai Lue" w:eastAsiaTheme="minorHAnsi" w:hAnsi="Microsoft New Tai Lue" w:cs="Microsoft New Tai Lue"/>
          <w:color w:val="auto"/>
          <w:lang w:eastAsia="en-US"/>
        </w:rPr>
      </w:pPr>
    </w:p>
    <w:p w:rsidR="00912CC1" w:rsidRDefault="00912CC1" w:rsidP="00912CC1">
      <w:pPr>
        <w:spacing w:after="0"/>
        <w:rPr>
          <w:rFonts w:ascii="Microsoft New Tai Lue" w:eastAsiaTheme="minorHAnsi" w:hAnsi="Microsoft New Tai Lue" w:cs="Microsoft New Tai Lue"/>
          <w:color w:val="auto"/>
          <w:lang w:eastAsia="en-US"/>
        </w:rPr>
      </w:pPr>
    </w:p>
    <w:p w:rsidR="00902EF3" w:rsidRDefault="00902EF3" w:rsidP="00912CC1">
      <w:pPr>
        <w:spacing w:after="0"/>
        <w:rPr>
          <w:rFonts w:ascii="Microsoft New Tai Lue" w:eastAsiaTheme="minorHAnsi" w:hAnsi="Microsoft New Tai Lue" w:cs="Microsoft New Tai Lue"/>
          <w:color w:val="auto"/>
          <w:lang w:eastAsia="en-US"/>
        </w:rPr>
      </w:pPr>
      <w:r>
        <w:rPr>
          <w:rFonts w:ascii="Microsoft New Tai Lue" w:eastAsiaTheme="minorHAnsi" w:hAnsi="Microsoft New Tai Lue" w:cs="Microsoft New Tai Lue"/>
          <w:color w:val="auto"/>
          <w:lang w:eastAsia="en-US"/>
        </w:rPr>
        <w:lastRenderedPageBreak/>
        <w:t>APPENDIX 1</w:t>
      </w:r>
    </w:p>
    <w:p w:rsidR="00902EF3" w:rsidRPr="00CF3959" w:rsidRDefault="00902EF3" w:rsidP="00902EF3">
      <w:pPr>
        <w:rPr>
          <w:rFonts w:ascii="Microsoft New Tai Lue" w:eastAsiaTheme="minorHAnsi" w:hAnsi="Microsoft New Tai Lue" w:cs="Microsoft New Tai Lue"/>
          <w:color w:val="FF0000"/>
          <w:lang w:eastAsia="en-US"/>
        </w:rPr>
      </w:pPr>
      <w:r w:rsidRPr="00CF3959">
        <w:rPr>
          <w:rFonts w:ascii="Microsoft New Tai Lue" w:eastAsiaTheme="minorHAnsi" w:hAnsi="Microsoft New Tai Lue" w:cs="Microsoft New Tai Lue"/>
          <w:color w:val="FF0000"/>
          <w:lang w:eastAsia="en-US"/>
        </w:rPr>
        <w:t xml:space="preserve">Abovo Dashboard  </w:t>
      </w:r>
      <w:r w:rsidR="00A83CA1" w:rsidRPr="00CF3959">
        <w:rPr>
          <w:rFonts w:ascii="Microsoft New Tai Lue" w:eastAsiaTheme="minorHAnsi" w:hAnsi="Microsoft New Tai Lue" w:cs="Microsoft New Tai Lue"/>
          <w:color w:val="FF0000"/>
          <w:lang w:eastAsia="en-US"/>
        </w:rPr>
        <w:t>22/06</w:t>
      </w:r>
      <w:r w:rsidRPr="00CF3959">
        <w:rPr>
          <w:rFonts w:ascii="Microsoft New Tai Lue" w:eastAsiaTheme="minorHAnsi" w:hAnsi="Microsoft New Tai Lue" w:cs="Microsoft New Tai Lue"/>
          <w:color w:val="FF0000"/>
          <w:lang w:eastAsia="en-US"/>
        </w:rPr>
        <w:t>/2021</w:t>
      </w:r>
    </w:p>
    <w:tbl>
      <w:tblPr>
        <w:tblW w:w="18274" w:type="dxa"/>
        <w:tblLook w:val="04A0" w:firstRow="1" w:lastRow="0" w:firstColumn="1" w:lastColumn="0" w:noHBand="0" w:noVBand="1"/>
      </w:tblPr>
      <w:tblGrid>
        <w:gridCol w:w="1471"/>
        <w:gridCol w:w="5900"/>
        <w:gridCol w:w="709"/>
        <w:gridCol w:w="319"/>
        <w:gridCol w:w="710"/>
        <w:gridCol w:w="1084"/>
        <w:gridCol w:w="1182"/>
        <w:gridCol w:w="777"/>
        <w:gridCol w:w="236"/>
        <w:gridCol w:w="1681"/>
        <w:gridCol w:w="283"/>
        <w:gridCol w:w="1134"/>
        <w:gridCol w:w="1276"/>
        <w:gridCol w:w="1276"/>
        <w:gridCol w:w="236"/>
      </w:tblGrid>
      <w:tr w:rsidR="00902EF3" w:rsidRPr="00175AC1" w:rsidTr="00BB7F72">
        <w:trPr>
          <w:trHeight w:val="348"/>
        </w:trPr>
        <w:tc>
          <w:tcPr>
            <w:tcW w:w="10193" w:type="dxa"/>
            <w:gridSpan w:val="6"/>
            <w:tcBorders>
              <w:top w:val="nil"/>
              <w:left w:val="nil"/>
              <w:bottom w:val="nil"/>
              <w:right w:val="nil"/>
            </w:tcBorders>
            <w:shd w:val="clear" w:color="auto" w:fill="auto"/>
            <w:noWrap/>
            <w:vAlign w:val="center"/>
            <w:hideMark/>
          </w:tcPr>
          <w:p w:rsidR="00902EF3" w:rsidRPr="00175AC1" w:rsidRDefault="00902EF3" w:rsidP="00173982">
            <w:pPr>
              <w:spacing w:after="0"/>
              <w:rPr>
                <w:rFonts w:cs="Arial"/>
                <w:color w:val="005BAA"/>
              </w:rPr>
            </w:pPr>
            <w:r w:rsidRPr="00175AC1">
              <w:rPr>
                <w:rFonts w:cs="Arial"/>
                <w:color w:val="005BAA"/>
              </w:rPr>
              <w:t>Development Scheme Appraisal │Oxford City Council</w:t>
            </w:r>
          </w:p>
        </w:tc>
        <w:tc>
          <w:tcPr>
            <w:tcW w:w="1182" w:type="dxa"/>
            <w:tcBorders>
              <w:top w:val="nil"/>
              <w:left w:val="nil"/>
              <w:bottom w:val="nil"/>
              <w:right w:val="nil"/>
            </w:tcBorders>
            <w:shd w:val="clear" w:color="auto" w:fill="auto"/>
            <w:noWrap/>
            <w:vAlign w:val="bottom"/>
            <w:hideMark/>
          </w:tcPr>
          <w:p w:rsidR="00902EF3" w:rsidRPr="00175AC1" w:rsidRDefault="00902EF3" w:rsidP="00173982">
            <w:pPr>
              <w:spacing w:after="0"/>
              <w:rPr>
                <w:rFonts w:cs="Arial"/>
                <w:color w:val="005BAA"/>
              </w:rPr>
            </w:pPr>
          </w:p>
        </w:tc>
        <w:tc>
          <w:tcPr>
            <w:tcW w:w="777"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681"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83"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134"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sz w:val="20"/>
                <w:szCs w:val="20"/>
              </w:rPr>
            </w:pPr>
          </w:p>
        </w:tc>
      </w:tr>
      <w:tr w:rsidR="00902EF3" w:rsidRPr="00175AC1" w:rsidTr="00BB7F72">
        <w:trPr>
          <w:trHeight w:val="315"/>
        </w:trPr>
        <w:tc>
          <w:tcPr>
            <w:tcW w:w="7371" w:type="dxa"/>
            <w:gridSpan w:val="2"/>
            <w:tcBorders>
              <w:top w:val="nil"/>
              <w:left w:val="nil"/>
              <w:bottom w:val="nil"/>
              <w:right w:val="nil"/>
            </w:tcBorders>
            <w:shd w:val="clear" w:color="auto" w:fill="auto"/>
            <w:noWrap/>
            <w:vAlign w:val="bottom"/>
            <w:hideMark/>
          </w:tcPr>
          <w:p w:rsidR="00902EF3" w:rsidRPr="00175AC1" w:rsidRDefault="00BB7F72" w:rsidP="007D5039">
            <w:pPr>
              <w:spacing w:after="0"/>
              <w:ind w:right="-3937"/>
              <w:rPr>
                <w:rFonts w:cs="Arial"/>
                <w:color w:val="505253"/>
              </w:rPr>
            </w:pPr>
            <w:r>
              <w:rPr>
                <w:rFonts w:cs="Arial"/>
                <w:color w:val="505253"/>
              </w:rPr>
              <w:t xml:space="preserve">Combined </w:t>
            </w:r>
            <w:r w:rsidR="007D5039">
              <w:rPr>
                <w:rFonts w:cs="Arial"/>
                <w:color w:val="505253"/>
              </w:rPr>
              <w:t xml:space="preserve">Cumberlege Close and </w:t>
            </w:r>
            <w:r w:rsidR="00902EF3">
              <w:rPr>
                <w:rFonts w:cs="Arial"/>
                <w:color w:val="505253"/>
              </w:rPr>
              <w:t>Elsfield Hall</w:t>
            </w:r>
            <w:r w:rsidR="007D5039">
              <w:rPr>
                <w:rFonts w:cs="Arial"/>
                <w:color w:val="505253"/>
              </w:rPr>
              <w:t xml:space="preserve"> </w:t>
            </w:r>
            <w:r w:rsidR="007D5039" w:rsidRPr="00175AC1">
              <w:rPr>
                <w:rFonts w:cs="Arial"/>
                <w:color w:val="505253"/>
              </w:rPr>
              <w:t>Dashboard</w:t>
            </w:r>
          </w:p>
        </w:tc>
        <w:tc>
          <w:tcPr>
            <w:tcW w:w="709" w:type="dxa"/>
            <w:tcBorders>
              <w:top w:val="nil"/>
              <w:left w:val="nil"/>
              <w:bottom w:val="nil"/>
              <w:right w:val="nil"/>
            </w:tcBorders>
            <w:shd w:val="clear" w:color="auto" w:fill="auto"/>
            <w:noWrap/>
            <w:vAlign w:val="bottom"/>
            <w:hideMark/>
          </w:tcPr>
          <w:p w:rsidR="00902EF3" w:rsidRPr="00175AC1" w:rsidRDefault="00902EF3" w:rsidP="00173982">
            <w:pPr>
              <w:spacing w:after="0"/>
              <w:rPr>
                <w:rFonts w:cs="Arial"/>
                <w:color w:val="505253"/>
              </w:rPr>
            </w:pPr>
          </w:p>
        </w:tc>
        <w:tc>
          <w:tcPr>
            <w:tcW w:w="319"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710"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084"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182"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777"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681"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83"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134"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sz w:val="20"/>
                <w:szCs w:val="20"/>
              </w:rPr>
            </w:pPr>
          </w:p>
        </w:tc>
      </w:tr>
      <w:tr w:rsidR="00902EF3" w:rsidRPr="00175AC1" w:rsidTr="00BB7F72">
        <w:trPr>
          <w:trHeight w:val="315"/>
        </w:trPr>
        <w:tc>
          <w:tcPr>
            <w:tcW w:w="1471" w:type="dxa"/>
            <w:tcBorders>
              <w:top w:val="nil"/>
              <w:left w:val="nil"/>
              <w:bottom w:val="nil"/>
              <w:right w:val="nil"/>
            </w:tcBorders>
            <w:shd w:val="clear" w:color="auto" w:fill="auto"/>
            <w:noWrap/>
            <w:vAlign w:val="bottom"/>
            <w:hideMark/>
          </w:tcPr>
          <w:p w:rsidR="00902EF3" w:rsidRPr="00175AC1" w:rsidRDefault="00902EF3" w:rsidP="00173982">
            <w:pPr>
              <w:spacing w:after="0"/>
              <w:rPr>
                <w:rFonts w:cs="Arial"/>
                <w:color w:val="505253"/>
              </w:rPr>
            </w:pPr>
          </w:p>
        </w:tc>
        <w:tc>
          <w:tcPr>
            <w:tcW w:w="5900" w:type="dxa"/>
            <w:tcBorders>
              <w:top w:val="nil"/>
              <w:left w:val="nil"/>
              <w:bottom w:val="nil"/>
              <w:right w:val="nil"/>
            </w:tcBorders>
            <w:shd w:val="clear" w:color="auto" w:fill="auto"/>
            <w:noWrap/>
            <w:vAlign w:val="bottom"/>
            <w:hideMark/>
          </w:tcPr>
          <w:p w:rsidR="00902EF3" w:rsidRPr="00175AC1" w:rsidRDefault="00902EF3" w:rsidP="00173982">
            <w:pPr>
              <w:spacing w:after="0"/>
              <w:rPr>
                <w:rFonts w:cs="Arial"/>
                <w:color w:val="505253"/>
              </w:rPr>
            </w:pPr>
          </w:p>
        </w:tc>
        <w:tc>
          <w:tcPr>
            <w:tcW w:w="709"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319"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710"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084"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182"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777"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681"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83"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134"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127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rPr>
            </w:pPr>
          </w:p>
        </w:tc>
        <w:tc>
          <w:tcPr>
            <w:tcW w:w="236" w:type="dxa"/>
            <w:tcBorders>
              <w:top w:val="nil"/>
              <w:left w:val="nil"/>
              <w:bottom w:val="nil"/>
              <w:right w:val="nil"/>
            </w:tcBorders>
            <w:shd w:val="clear" w:color="auto" w:fill="auto"/>
            <w:noWrap/>
            <w:vAlign w:val="bottom"/>
            <w:hideMark/>
          </w:tcPr>
          <w:p w:rsidR="00902EF3" w:rsidRPr="00175AC1" w:rsidRDefault="00902EF3" w:rsidP="00173982">
            <w:pPr>
              <w:spacing w:after="0"/>
              <w:rPr>
                <w:rFonts w:ascii="Times New Roman" w:hAnsi="Times New Roman"/>
                <w:color w:val="auto"/>
                <w:sz w:val="20"/>
                <w:szCs w:val="20"/>
              </w:rPr>
            </w:pPr>
          </w:p>
        </w:tc>
      </w:tr>
    </w:tbl>
    <w:p w:rsidR="00902EF3" w:rsidRDefault="00A83CA1" w:rsidP="00487B27">
      <w:pPr>
        <w:rPr>
          <w:rFonts w:ascii="Microsoft New Tai Lue" w:eastAsiaTheme="minorHAnsi" w:hAnsi="Microsoft New Tai Lue" w:cs="Microsoft New Tai Lue"/>
          <w:color w:val="auto"/>
          <w:lang w:eastAsia="en-US"/>
        </w:rPr>
      </w:pPr>
      <w:r>
        <w:rPr>
          <w:noProof/>
        </w:rPr>
        <w:drawing>
          <wp:inline distT="0" distB="0" distL="0" distR="0" wp14:anchorId="624D950C" wp14:editId="7C0F8983">
            <wp:extent cx="6329137" cy="213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156" t="41552" r="26235" b="21415"/>
                    <a:stretch/>
                  </pic:blipFill>
                  <pic:spPr bwMode="auto">
                    <a:xfrm>
                      <a:off x="0" y="0"/>
                      <a:ext cx="6381581" cy="2157706"/>
                    </a:xfrm>
                    <a:prstGeom prst="rect">
                      <a:avLst/>
                    </a:prstGeom>
                    <a:ln>
                      <a:noFill/>
                    </a:ln>
                    <a:extLst>
                      <a:ext uri="{53640926-AAD7-44D8-BBD7-CCE9431645EC}">
                        <a14:shadowObscured xmlns:a14="http://schemas.microsoft.com/office/drawing/2010/main"/>
                      </a:ext>
                    </a:extLst>
                  </pic:spPr>
                </pic:pic>
              </a:graphicData>
            </a:graphic>
          </wp:inline>
        </w:drawing>
      </w: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A83CA1" w:rsidP="00487B27">
      <w:pPr>
        <w:rPr>
          <w:rFonts w:ascii="Microsoft New Tai Lue" w:eastAsiaTheme="minorHAnsi" w:hAnsi="Microsoft New Tai Lue" w:cs="Microsoft New Tai Lue"/>
          <w:color w:val="auto"/>
          <w:lang w:eastAsia="en-US"/>
        </w:rPr>
      </w:pPr>
      <w:r>
        <w:rPr>
          <w:noProof/>
        </w:rPr>
        <w:drawing>
          <wp:inline distT="0" distB="0" distL="0" distR="0" wp14:anchorId="54767049" wp14:editId="14472E5E">
            <wp:extent cx="3453130" cy="277207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3878" t="41096" b="21622"/>
                    <a:stretch/>
                  </pic:blipFill>
                  <pic:spPr bwMode="auto">
                    <a:xfrm>
                      <a:off x="0" y="0"/>
                      <a:ext cx="3463093" cy="2780075"/>
                    </a:xfrm>
                    <a:prstGeom prst="rect">
                      <a:avLst/>
                    </a:prstGeom>
                    <a:ln>
                      <a:noFill/>
                    </a:ln>
                    <a:extLst>
                      <a:ext uri="{53640926-AAD7-44D8-BBD7-CCE9431645EC}">
                        <a14:shadowObscured xmlns:a14="http://schemas.microsoft.com/office/drawing/2010/main"/>
                      </a:ext>
                    </a:extLst>
                  </pic:spPr>
                </pic:pic>
              </a:graphicData>
            </a:graphic>
          </wp:inline>
        </w:drawing>
      </w: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Default="00902EF3" w:rsidP="00487B27">
      <w:pPr>
        <w:rPr>
          <w:rFonts w:ascii="Microsoft New Tai Lue" w:eastAsiaTheme="minorHAnsi" w:hAnsi="Microsoft New Tai Lue" w:cs="Microsoft New Tai Lue"/>
          <w:color w:val="auto"/>
          <w:lang w:eastAsia="en-US"/>
        </w:rPr>
      </w:pPr>
    </w:p>
    <w:p w:rsidR="00902EF3" w:rsidRPr="00157739" w:rsidRDefault="00902EF3" w:rsidP="00487B27">
      <w:pPr>
        <w:rPr>
          <w:rFonts w:ascii="Microsoft New Tai Lue" w:eastAsiaTheme="minorHAnsi" w:hAnsi="Microsoft New Tai Lue" w:cs="Microsoft New Tai Lue"/>
          <w:color w:val="auto"/>
          <w:lang w:eastAsia="en-US"/>
        </w:rPr>
      </w:pPr>
    </w:p>
    <w:sectPr w:rsidR="00902EF3" w:rsidRPr="00157739"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53" w:rsidRDefault="002F5853" w:rsidP="004A6D2F">
      <w:r>
        <w:separator/>
      </w:r>
    </w:p>
  </w:endnote>
  <w:endnote w:type="continuationSeparator" w:id="0">
    <w:p w:rsidR="002F5853" w:rsidRDefault="002F585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53" w:rsidRDefault="002F5853" w:rsidP="004A6D2F">
      <w:r>
        <w:separator/>
      </w:r>
    </w:p>
  </w:footnote>
  <w:footnote w:type="continuationSeparator" w:id="0">
    <w:p w:rsidR="002F5853" w:rsidRDefault="002F585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AD1F31" w:rsidP="00D5547E">
    <w:pPr>
      <w:pStyle w:val="Header"/>
      <w:jc w:val="right"/>
    </w:pPr>
    <w:r>
      <w:rPr>
        <w:noProof/>
      </w:rPr>
      <mc:AlternateContent>
        <mc:Choice Requires="wps">
          <w:drawing>
            <wp:anchor distT="0" distB="0" distL="114300" distR="114300" simplePos="0" relativeHeight="251659264" behindDoc="0" locked="0" layoutInCell="1" allowOverlap="1" wp14:anchorId="28060271" wp14:editId="099868BE">
              <wp:simplePos x="0" y="0"/>
              <wp:positionH relativeFrom="column">
                <wp:posOffset>53992</wp:posOffset>
              </wp:positionH>
              <wp:positionV relativeFrom="paragraph">
                <wp:posOffset>299506</wp:posOffset>
              </wp:positionV>
              <wp:extent cx="4248318" cy="7480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318" cy="748098"/>
                      </a:xfrm>
                      <a:prstGeom prst="rect">
                        <a:avLst/>
                      </a:prstGeom>
                      <a:solidFill>
                        <a:srgbClr val="FFFFFF"/>
                      </a:solidFill>
                      <a:ln w="9525">
                        <a:noFill/>
                        <a:miter lim="800000"/>
                        <a:headEnd/>
                        <a:tailEnd/>
                      </a:ln>
                    </wps:spPr>
                    <wps:txbx>
                      <w:txbxContent>
                        <w:p w:rsidR="00AD1F31" w:rsidRPr="00AD1F31" w:rsidRDefault="00AD1F31">
                          <w:pPr>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60271" id="_x0000_t202" coordsize="21600,21600" o:spt="202" path="m,l,21600r21600,l21600,xe">
              <v:stroke joinstyle="miter"/>
              <v:path gradientshapeok="t" o:connecttype="rect"/>
            </v:shapetype>
            <v:shape id="Text Box 2" o:spid="_x0000_s1026" type="#_x0000_t202" style="position:absolute;left:0;text-align:left;margin-left:4.25pt;margin-top:23.6pt;width:334.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WIg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" stroked="f">
              <v:textbox>
                <w:txbxContent>
                  <w:p w:rsidR="00AD1F31" w:rsidRPr="00AD1F31" w:rsidRDefault="00AD1F31">
                    <w:pPr>
                      <w:rPr>
                        <w:sz w:val="32"/>
                        <w:szCs w:val="32"/>
                      </w:rPr>
                    </w:pPr>
                    <w:r w:rsidRPr="00AD1F31">
                      <w:rPr>
                        <w:sz w:val="32"/>
                        <w:szCs w:val="32"/>
                      </w:rPr>
                      <w:t>Officer Executive Decision</w:t>
                    </w:r>
                  </w:p>
                </w:txbxContent>
              </v:textbox>
            </v:shape>
          </w:pict>
        </mc:Fallback>
      </mc:AlternateContent>
    </w:r>
    <w:r w:rsidR="00484329">
      <w:rPr>
        <w:noProof/>
      </w:rPr>
      <w:drawing>
        <wp:inline distT="0" distB="0" distL="0" distR="0" wp14:anchorId="36F703A3" wp14:editId="3D534A0C">
          <wp:extent cx="841375" cy="1116965"/>
          <wp:effectExtent l="0" t="0" r="0" b="698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5D7B"/>
    <w:multiLevelType w:val="multilevel"/>
    <w:tmpl w:val="F9C4653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2270B4"/>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BE6C20"/>
    <w:multiLevelType w:val="hybridMultilevel"/>
    <w:tmpl w:val="1B22537E"/>
    <w:lvl w:ilvl="0" w:tplc="EBB2CAC8">
      <w:start w:val="1"/>
      <w:numFmt w:val="decimal"/>
      <w:lvlText w:val="%1."/>
      <w:lvlJc w:val="left"/>
      <w:pPr>
        <w:ind w:left="360" w:hanging="360"/>
      </w:pPr>
      <w:rPr>
        <w:b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8B31DD"/>
    <w:multiLevelType w:val="hybridMultilevel"/>
    <w:tmpl w:val="55FA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8344E"/>
    <w:multiLevelType w:val="hybridMultilevel"/>
    <w:tmpl w:val="C910E4C2"/>
    <w:lvl w:ilvl="0" w:tplc="D2C44C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002538"/>
    <w:multiLevelType w:val="hybridMultilevel"/>
    <w:tmpl w:val="22743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66187"/>
    <w:multiLevelType w:val="hybridMultilevel"/>
    <w:tmpl w:val="B6603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1A3D8E"/>
    <w:multiLevelType w:val="hybridMultilevel"/>
    <w:tmpl w:val="4C248C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7527D30"/>
    <w:multiLevelType w:val="hybridMultilevel"/>
    <w:tmpl w:val="2DD2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D05455"/>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D4DDE"/>
    <w:multiLevelType w:val="multilevel"/>
    <w:tmpl w:val="D84098DA"/>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0B3543"/>
    <w:multiLevelType w:val="hybridMultilevel"/>
    <w:tmpl w:val="F594CBB4"/>
    <w:lvl w:ilvl="0" w:tplc="CAA007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365C6"/>
    <w:multiLevelType w:val="multilevel"/>
    <w:tmpl w:val="21203358"/>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1"/>
  </w:num>
  <w:num w:numId="2">
    <w:abstractNumId w:val="40"/>
  </w:num>
  <w:num w:numId="3">
    <w:abstractNumId w:val="27"/>
  </w:num>
  <w:num w:numId="4">
    <w:abstractNumId w:val="22"/>
  </w:num>
  <w:num w:numId="5">
    <w:abstractNumId w:val="33"/>
  </w:num>
  <w:num w:numId="6">
    <w:abstractNumId w:val="42"/>
  </w:num>
  <w:num w:numId="7">
    <w:abstractNumId w:val="26"/>
  </w:num>
  <w:num w:numId="8">
    <w:abstractNumId w:val="24"/>
  </w:num>
  <w:num w:numId="9">
    <w:abstractNumId w:val="14"/>
  </w:num>
  <w:num w:numId="10">
    <w:abstractNumId w:val="18"/>
  </w:num>
  <w:num w:numId="11">
    <w:abstractNumId w:val="30"/>
  </w:num>
  <w:num w:numId="12">
    <w:abstractNumId w:val="28"/>
  </w:num>
  <w:num w:numId="13">
    <w:abstractNumId w:val="11"/>
  </w:num>
  <w:num w:numId="14">
    <w:abstractNumId w:val="44"/>
  </w:num>
  <w:num w:numId="15">
    <w:abstractNumId w:val="20"/>
  </w:num>
  <w:num w:numId="16">
    <w:abstractNumId w:val="12"/>
  </w:num>
  <w:num w:numId="17">
    <w:abstractNumId w:val="32"/>
  </w:num>
  <w:num w:numId="18">
    <w:abstractNumId w:val="13"/>
  </w:num>
  <w:num w:numId="19">
    <w:abstractNumId w:val="36"/>
  </w:num>
  <w:num w:numId="20">
    <w:abstractNumId w:val="21"/>
  </w:num>
  <w:num w:numId="21">
    <w:abstractNumId w:val="25"/>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 w:numId="35">
    <w:abstractNumId w:val="17"/>
  </w:num>
  <w:num w:numId="36">
    <w:abstractNumId w:val="16"/>
  </w:num>
  <w:num w:numId="37">
    <w:abstractNumId w:val="38"/>
  </w:num>
  <w:num w:numId="38">
    <w:abstractNumId w:val="41"/>
  </w:num>
  <w:num w:numId="39">
    <w:abstractNumId w:val="29"/>
  </w:num>
  <w:num w:numId="40">
    <w:abstractNumId w:val="35"/>
  </w:num>
  <w:num w:numId="41">
    <w:abstractNumId w:val="43"/>
  </w:num>
  <w:num w:numId="42">
    <w:abstractNumId w:val="23"/>
  </w:num>
  <w:num w:numId="43">
    <w:abstractNumId w:val="34"/>
  </w:num>
  <w:num w:numId="44">
    <w:abstractNumId w:val="37"/>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0082"/>
    <w:rsid w:val="000117D4"/>
    <w:rsid w:val="000314D7"/>
    <w:rsid w:val="00031AB9"/>
    <w:rsid w:val="00045F8B"/>
    <w:rsid w:val="00046D2B"/>
    <w:rsid w:val="0005065A"/>
    <w:rsid w:val="00053AF0"/>
    <w:rsid w:val="00056263"/>
    <w:rsid w:val="0006184E"/>
    <w:rsid w:val="00064D8A"/>
    <w:rsid w:val="00064F82"/>
    <w:rsid w:val="00065E44"/>
    <w:rsid w:val="00066510"/>
    <w:rsid w:val="000667EC"/>
    <w:rsid w:val="00077523"/>
    <w:rsid w:val="000878E8"/>
    <w:rsid w:val="00095CCA"/>
    <w:rsid w:val="000A12E2"/>
    <w:rsid w:val="000A1664"/>
    <w:rsid w:val="000B3EF9"/>
    <w:rsid w:val="000C089F"/>
    <w:rsid w:val="000C3928"/>
    <w:rsid w:val="000C5E8E"/>
    <w:rsid w:val="000F2DF6"/>
    <w:rsid w:val="000F4751"/>
    <w:rsid w:val="0010524C"/>
    <w:rsid w:val="00111FB1"/>
    <w:rsid w:val="00113418"/>
    <w:rsid w:val="001249DF"/>
    <w:rsid w:val="001356F1"/>
    <w:rsid w:val="00136994"/>
    <w:rsid w:val="0014128E"/>
    <w:rsid w:val="00144F4B"/>
    <w:rsid w:val="00146643"/>
    <w:rsid w:val="001500B9"/>
    <w:rsid w:val="00151888"/>
    <w:rsid w:val="00157739"/>
    <w:rsid w:val="00165DED"/>
    <w:rsid w:val="00167902"/>
    <w:rsid w:val="00170A2D"/>
    <w:rsid w:val="001757D4"/>
    <w:rsid w:val="001808BC"/>
    <w:rsid w:val="00182B81"/>
    <w:rsid w:val="0018504D"/>
    <w:rsid w:val="0018619D"/>
    <w:rsid w:val="00187D76"/>
    <w:rsid w:val="001A011E"/>
    <w:rsid w:val="001A066A"/>
    <w:rsid w:val="001A13E6"/>
    <w:rsid w:val="001A5731"/>
    <w:rsid w:val="001B42C3"/>
    <w:rsid w:val="001C5D5E"/>
    <w:rsid w:val="001D678D"/>
    <w:rsid w:val="001E03F8"/>
    <w:rsid w:val="001E052E"/>
    <w:rsid w:val="001E1678"/>
    <w:rsid w:val="001E3376"/>
    <w:rsid w:val="001E3D33"/>
    <w:rsid w:val="001F47F9"/>
    <w:rsid w:val="002014CF"/>
    <w:rsid w:val="00203243"/>
    <w:rsid w:val="002069B3"/>
    <w:rsid w:val="002329CF"/>
    <w:rsid w:val="00232F5B"/>
    <w:rsid w:val="00247C29"/>
    <w:rsid w:val="00260467"/>
    <w:rsid w:val="00263EA3"/>
    <w:rsid w:val="00284F85"/>
    <w:rsid w:val="00290915"/>
    <w:rsid w:val="00292773"/>
    <w:rsid w:val="002A22E2"/>
    <w:rsid w:val="002B00E8"/>
    <w:rsid w:val="002B4E2A"/>
    <w:rsid w:val="002B5084"/>
    <w:rsid w:val="002C64F7"/>
    <w:rsid w:val="002F41F2"/>
    <w:rsid w:val="002F5853"/>
    <w:rsid w:val="00301BF3"/>
    <w:rsid w:val="0030208D"/>
    <w:rsid w:val="00305F91"/>
    <w:rsid w:val="00315020"/>
    <w:rsid w:val="00323418"/>
    <w:rsid w:val="00335024"/>
    <w:rsid w:val="003357BF"/>
    <w:rsid w:val="00341542"/>
    <w:rsid w:val="00345C63"/>
    <w:rsid w:val="00364FAD"/>
    <w:rsid w:val="0036738F"/>
    <w:rsid w:val="0036759C"/>
    <w:rsid w:val="00367AE5"/>
    <w:rsid w:val="00367D71"/>
    <w:rsid w:val="0038150A"/>
    <w:rsid w:val="00381ACA"/>
    <w:rsid w:val="00385E62"/>
    <w:rsid w:val="003B6E75"/>
    <w:rsid w:val="003B7DA1"/>
    <w:rsid w:val="003C4D7B"/>
    <w:rsid w:val="003D0379"/>
    <w:rsid w:val="003D2574"/>
    <w:rsid w:val="003D4662"/>
    <w:rsid w:val="003D4C59"/>
    <w:rsid w:val="003E23A0"/>
    <w:rsid w:val="003F2631"/>
    <w:rsid w:val="003F4267"/>
    <w:rsid w:val="00404032"/>
    <w:rsid w:val="0040736F"/>
    <w:rsid w:val="00412C1F"/>
    <w:rsid w:val="00415F9B"/>
    <w:rsid w:val="00421CB2"/>
    <w:rsid w:val="00423A2C"/>
    <w:rsid w:val="004268B9"/>
    <w:rsid w:val="00433B96"/>
    <w:rsid w:val="004440F1"/>
    <w:rsid w:val="004456DD"/>
    <w:rsid w:val="00446CDF"/>
    <w:rsid w:val="004521B7"/>
    <w:rsid w:val="00462AB5"/>
    <w:rsid w:val="00465EAF"/>
    <w:rsid w:val="004711FC"/>
    <w:rsid w:val="004738C5"/>
    <w:rsid w:val="00475860"/>
    <w:rsid w:val="00484329"/>
    <w:rsid w:val="00487B27"/>
    <w:rsid w:val="00491046"/>
    <w:rsid w:val="004A2AC7"/>
    <w:rsid w:val="004A6D2F"/>
    <w:rsid w:val="004C2887"/>
    <w:rsid w:val="004D2626"/>
    <w:rsid w:val="004D54A7"/>
    <w:rsid w:val="004D6E26"/>
    <w:rsid w:val="004D77D3"/>
    <w:rsid w:val="004E2959"/>
    <w:rsid w:val="004E2D4B"/>
    <w:rsid w:val="004E4D2B"/>
    <w:rsid w:val="004F20EF"/>
    <w:rsid w:val="004F7B39"/>
    <w:rsid w:val="0050321C"/>
    <w:rsid w:val="00503232"/>
    <w:rsid w:val="005177DE"/>
    <w:rsid w:val="00521C4A"/>
    <w:rsid w:val="0052718A"/>
    <w:rsid w:val="005302EC"/>
    <w:rsid w:val="0054712D"/>
    <w:rsid w:val="00547EF6"/>
    <w:rsid w:val="00555B7C"/>
    <w:rsid w:val="005570B5"/>
    <w:rsid w:val="00557AEE"/>
    <w:rsid w:val="00561935"/>
    <w:rsid w:val="005625A3"/>
    <w:rsid w:val="00567E18"/>
    <w:rsid w:val="00575F5F"/>
    <w:rsid w:val="00581805"/>
    <w:rsid w:val="00583B9F"/>
    <w:rsid w:val="00585F76"/>
    <w:rsid w:val="00590FC1"/>
    <w:rsid w:val="005A34E4"/>
    <w:rsid w:val="005A3820"/>
    <w:rsid w:val="005B17F2"/>
    <w:rsid w:val="005B7FB0"/>
    <w:rsid w:val="005C35A5"/>
    <w:rsid w:val="005C577C"/>
    <w:rsid w:val="005D0621"/>
    <w:rsid w:val="005D1E27"/>
    <w:rsid w:val="005D2A3E"/>
    <w:rsid w:val="005E022E"/>
    <w:rsid w:val="005E5215"/>
    <w:rsid w:val="005E5B66"/>
    <w:rsid w:val="005F7F7E"/>
    <w:rsid w:val="00614693"/>
    <w:rsid w:val="00623C2F"/>
    <w:rsid w:val="00633578"/>
    <w:rsid w:val="00637068"/>
    <w:rsid w:val="006401DA"/>
    <w:rsid w:val="0065080F"/>
    <w:rsid w:val="00650811"/>
    <w:rsid w:val="00653E1D"/>
    <w:rsid w:val="00661D3E"/>
    <w:rsid w:val="006735C0"/>
    <w:rsid w:val="006757A9"/>
    <w:rsid w:val="0068349A"/>
    <w:rsid w:val="00692627"/>
    <w:rsid w:val="006955A0"/>
    <w:rsid w:val="006969E7"/>
    <w:rsid w:val="006A3643"/>
    <w:rsid w:val="006C153C"/>
    <w:rsid w:val="006C22E3"/>
    <w:rsid w:val="006C2A29"/>
    <w:rsid w:val="006C64CF"/>
    <w:rsid w:val="006D17B1"/>
    <w:rsid w:val="006D4752"/>
    <w:rsid w:val="006D708A"/>
    <w:rsid w:val="006E14C1"/>
    <w:rsid w:val="006F0292"/>
    <w:rsid w:val="006F27FA"/>
    <w:rsid w:val="006F416B"/>
    <w:rsid w:val="006F519B"/>
    <w:rsid w:val="007078AC"/>
    <w:rsid w:val="00713675"/>
    <w:rsid w:val="00715823"/>
    <w:rsid w:val="00735CEC"/>
    <w:rsid w:val="00737B93"/>
    <w:rsid w:val="00740585"/>
    <w:rsid w:val="00745BF0"/>
    <w:rsid w:val="00761325"/>
    <w:rsid w:val="007615FE"/>
    <w:rsid w:val="0076655C"/>
    <w:rsid w:val="00770A5B"/>
    <w:rsid w:val="007742DC"/>
    <w:rsid w:val="00791437"/>
    <w:rsid w:val="00792A74"/>
    <w:rsid w:val="00794DA3"/>
    <w:rsid w:val="007B0C2C"/>
    <w:rsid w:val="007B278E"/>
    <w:rsid w:val="007B4583"/>
    <w:rsid w:val="007B48E1"/>
    <w:rsid w:val="007C5C23"/>
    <w:rsid w:val="007D5039"/>
    <w:rsid w:val="007E2A26"/>
    <w:rsid w:val="007F0DA1"/>
    <w:rsid w:val="007F2348"/>
    <w:rsid w:val="00803F07"/>
    <w:rsid w:val="0080749A"/>
    <w:rsid w:val="00821CB0"/>
    <w:rsid w:val="00821FB8"/>
    <w:rsid w:val="00822ACD"/>
    <w:rsid w:val="00846E2C"/>
    <w:rsid w:val="00855C66"/>
    <w:rsid w:val="00870CB8"/>
    <w:rsid w:val="00871EE4"/>
    <w:rsid w:val="008776E2"/>
    <w:rsid w:val="008875B1"/>
    <w:rsid w:val="008B293F"/>
    <w:rsid w:val="008B489A"/>
    <w:rsid w:val="008B7371"/>
    <w:rsid w:val="008D3DDB"/>
    <w:rsid w:val="008D4FB8"/>
    <w:rsid w:val="008F573F"/>
    <w:rsid w:val="008F6B3F"/>
    <w:rsid w:val="00902EF3"/>
    <w:rsid w:val="009034EC"/>
    <w:rsid w:val="00904741"/>
    <w:rsid w:val="00912CC1"/>
    <w:rsid w:val="009229E6"/>
    <w:rsid w:val="00926823"/>
    <w:rsid w:val="0093067A"/>
    <w:rsid w:val="009356E5"/>
    <w:rsid w:val="00941C60"/>
    <w:rsid w:val="00941FD1"/>
    <w:rsid w:val="0094610A"/>
    <w:rsid w:val="00964243"/>
    <w:rsid w:val="00966D42"/>
    <w:rsid w:val="00971689"/>
    <w:rsid w:val="00973E90"/>
    <w:rsid w:val="00975B07"/>
    <w:rsid w:val="009773FB"/>
    <w:rsid w:val="00980B4A"/>
    <w:rsid w:val="009C433A"/>
    <w:rsid w:val="009E3D0A"/>
    <w:rsid w:val="009E51FC"/>
    <w:rsid w:val="009F1D28"/>
    <w:rsid w:val="009F7618"/>
    <w:rsid w:val="00A04D23"/>
    <w:rsid w:val="00A06766"/>
    <w:rsid w:val="00A13765"/>
    <w:rsid w:val="00A17C3E"/>
    <w:rsid w:val="00A21B12"/>
    <w:rsid w:val="00A23F80"/>
    <w:rsid w:val="00A4261C"/>
    <w:rsid w:val="00A46E98"/>
    <w:rsid w:val="00A54FAA"/>
    <w:rsid w:val="00A6352B"/>
    <w:rsid w:val="00A6686A"/>
    <w:rsid w:val="00A701B5"/>
    <w:rsid w:val="00A714BB"/>
    <w:rsid w:val="00A73C3D"/>
    <w:rsid w:val="00A77147"/>
    <w:rsid w:val="00A82611"/>
    <w:rsid w:val="00A83CA1"/>
    <w:rsid w:val="00A90CE0"/>
    <w:rsid w:val="00A92D8F"/>
    <w:rsid w:val="00A955E7"/>
    <w:rsid w:val="00AB2988"/>
    <w:rsid w:val="00AB7999"/>
    <w:rsid w:val="00AD182B"/>
    <w:rsid w:val="00AD1F31"/>
    <w:rsid w:val="00AD3292"/>
    <w:rsid w:val="00AE7AF0"/>
    <w:rsid w:val="00AF2FB5"/>
    <w:rsid w:val="00B42B60"/>
    <w:rsid w:val="00B500CA"/>
    <w:rsid w:val="00B72D40"/>
    <w:rsid w:val="00B845B6"/>
    <w:rsid w:val="00B85A77"/>
    <w:rsid w:val="00B86314"/>
    <w:rsid w:val="00B914A1"/>
    <w:rsid w:val="00B93664"/>
    <w:rsid w:val="00BA1C2E"/>
    <w:rsid w:val="00BB63F9"/>
    <w:rsid w:val="00BB7F72"/>
    <w:rsid w:val="00BC200B"/>
    <w:rsid w:val="00BC4756"/>
    <w:rsid w:val="00BC69A4"/>
    <w:rsid w:val="00BE0680"/>
    <w:rsid w:val="00BE305F"/>
    <w:rsid w:val="00BE7BA3"/>
    <w:rsid w:val="00BF5682"/>
    <w:rsid w:val="00BF7B09"/>
    <w:rsid w:val="00C0158F"/>
    <w:rsid w:val="00C20A95"/>
    <w:rsid w:val="00C2692F"/>
    <w:rsid w:val="00C3207C"/>
    <w:rsid w:val="00C34D2A"/>
    <w:rsid w:val="00C400E1"/>
    <w:rsid w:val="00C41187"/>
    <w:rsid w:val="00C536B3"/>
    <w:rsid w:val="00C63C31"/>
    <w:rsid w:val="00C65A83"/>
    <w:rsid w:val="00C757A0"/>
    <w:rsid w:val="00C760DE"/>
    <w:rsid w:val="00C82630"/>
    <w:rsid w:val="00C85B4E"/>
    <w:rsid w:val="00C85BEE"/>
    <w:rsid w:val="00C907F7"/>
    <w:rsid w:val="00C92D4E"/>
    <w:rsid w:val="00CA2103"/>
    <w:rsid w:val="00CB2F4D"/>
    <w:rsid w:val="00CB4BFC"/>
    <w:rsid w:val="00CB6B99"/>
    <w:rsid w:val="00CC4ED0"/>
    <w:rsid w:val="00CD3BD2"/>
    <w:rsid w:val="00CE4C87"/>
    <w:rsid w:val="00CE544A"/>
    <w:rsid w:val="00CE64EC"/>
    <w:rsid w:val="00CF3959"/>
    <w:rsid w:val="00CF5B35"/>
    <w:rsid w:val="00D03A76"/>
    <w:rsid w:val="00D11E1C"/>
    <w:rsid w:val="00D160B0"/>
    <w:rsid w:val="00D17CB0"/>
    <w:rsid w:val="00D17F94"/>
    <w:rsid w:val="00D223FC"/>
    <w:rsid w:val="00D228D3"/>
    <w:rsid w:val="00D26D1E"/>
    <w:rsid w:val="00D33472"/>
    <w:rsid w:val="00D364D6"/>
    <w:rsid w:val="00D40CAD"/>
    <w:rsid w:val="00D474CF"/>
    <w:rsid w:val="00D5547E"/>
    <w:rsid w:val="00D7108B"/>
    <w:rsid w:val="00D75777"/>
    <w:rsid w:val="00D77273"/>
    <w:rsid w:val="00D869A1"/>
    <w:rsid w:val="00D959D5"/>
    <w:rsid w:val="00DA413F"/>
    <w:rsid w:val="00DA4584"/>
    <w:rsid w:val="00DA614B"/>
    <w:rsid w:val="00DA7646"/>
    <w:rsid w:val="00DB2D6E"/>
    <w:rsid w:val="00DB3164"/>
    <w:rsid w:val="00DC08EE"/>
    <w:rsid w:val="00DC3060"/>
    <w:rsid w:val="00DE0FB2"/>
    <w:rsid w:val="00DF093E"/>
    <w:rsid w:val="00DF547D"/>
    <w:rsid w:val="00E01F42"/>
    <w:rsid w:val="00E206D6"/>
    <w:rsid w:val="00E3366E"/>
    <w:rsid w:val="00E36B6C"/>
    <w:rsid w:val="00E52086"/>
    <w:rsid w:val="00E543A6"/>
    <w:rsid w:val="00E60479"/>
    <w:rsid w:val="00E61D73"/>
    <w:rsid w:val="00E702E0"/>
    <w:rsid w:val="00E73684"/>
    <w:rsid w:val="00E818D6"/>
    <w:rsid w:val="00E87F7A"/>
    <w:rsid w:val="00E9175C"/>
    <w:rsid w:val="00E96BD7"/>
    <w:rsid w:val="00EA0DB1"/>
    <w:rsid w:val="00EA0EE9"/>
    <w:rsid w:val="00EB110C"/>
    <w:rsid w:val="00ED52CA"/>
    <w:rsid w:val="00ED5860"/>
    <w:rsid w:val="00EE35C9"/>
    <w:rsid w:val="00F05ECA"/>
    <w:rsid w:val="00F12A6E"/>
    <w:rsid w:val="00F14A89"/>
    <w:rsid w:val="00F3566E"/>
    <w:rsid w:val="00F375FB"/>
    <w:rsid w:val="00F41AC1"/>
    <w:rsid w:val="00F4367A"/>
    <w:rsid w:val="00F43E44"/>
    <w:rsid w:val="00F445B1"/>
    <w:rsid w:val="00F45CD4"/>
    <w:rsid w:val="00F53AF3"/>
    <w:rsid w:val="00F577F3"/>
    <w:rsid w:val="00F61E54"/>
    <w:rsid w:val="00F66DCA"/>
    <w:rsid w:val="00F74F53"/>
    <w:rsid w:val="00F7606D"/>
    <w:rsid w:val="00F81670"/>
    <w:rsid w:val="00F82024"/>
    <w:rsid w:val="00F840BA"/>
    <w:rsid w:val="00F8762E"/>
    <w:rsid w:val="00F945F2"/>
    <w:rsid w:val="00F95BC9"/>
    <w:rsid w:val="00FA624C"/>
    <w:rsid w:val="00FA7845"/>
    <w:rsid w:val="00FC564F"/>
    <w:rsid w:val="00FC64C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4F3CFD0-52EA-4D4F-B9C8-704A3F81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695443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594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F4C2-4B97-4D0B-847C-B487A129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7DC99D9C</Template>
  <TotalTime>58</TotalTime>
  <Pages>4</Pages>
  <Words>954</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MITCHELL John</cp:lastModifiedBy>
  <cp:revision>10</cp:revision>
  <cp:lastPrinted>2015-07-03T13:50:00Z</cp:lastPrinted>
  <dcterms:created xsi:type="dcterms:W3CDTF">2021-06-24T15:40:00Z</dcterms:created>
  <dcterms:modified xsi:type="dcterms:W3CDTF">2021-07-14T10:18:00Z</dcterms:modified>
</cp:coreProperties>
</file>